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8F0F" w14:textId="4A91A9FE" w:rsidR="000B3AC1" w:rsidRPr="005F4470" w:rsidRDefault="0060423D" w:rsidP="005744A5">
      <w:pPr>
        <w:tabs>
          <w:tab w:val="left" w:pos="10206"/>
        </w:tabs>
        <w:spacing w:line="240" w:lineRule="auto"/>
        <w:ind w:left="567" w:right="560"/>
        <w:jc w:val="both"/>
        <w:rPr>
          <w:rFonts w:ascii="Arial" w:hAnsi="Arial" w:cs="Arial"/>
          <w:sz w:val="22"/>
          <w:szCs w:val="22"/>
        </w:rPr>
      </w:pPr>
      <w:r w:rsidRPr="005F447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43C3135F">
                <wp:simplePos x="0" y="0"/>
                <wp:positionH relativeFrom="column">
                  <wp:posOffset>249555</wp:posOffset>
                </wp:positionH>
                <wp:positionV relativeFrom="paragraph">
                  <wp:posOffset>-8890</wp:posOffset>
                </wp:positionV>
                <wp:extent cx="3676650" cy="1135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135380"/>
                        </a:xfrm>
                        <a:prstGeom prst="rect">
                          <a:avLst/>
                        </a:prstGeom>
                        <a:solidFill>
                          <a:srgbClr val="FFFFFF"/>
                        </a:solidFill>
                        <a:ln>
                          <a:noFill/>
                        </a:ln>
                        <a:extLst>
                          <a:ext uri="{91240B29-F687-4f45-9708-019B960494DF}"/>
                        </a:extLst>
                      </wps:spPr>
                      <wps:txb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756F3" id="_x0000_t202" coordsize="21600,21600" o:spt="202" path="m,l,21600r21600,l21600,xe">
                <v:stroke joinstyle="miter"/>
                <v:path gradientshapeok="t" o:connecttype="rect"/>
              </v:shapetype>
              <v:shape id="Text Box 3" o:spid="_x0000_s1026" type="#_x0000_t202" style="position:absolute;left:0;text-align:left;margin-left:19.65pt;margin-top:-.7pt;width:289.5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" stroked="f">
                <v:textbo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r w:rsidR="000B3AC1" w:rsidRPr="005F447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22F1B31F">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60415D9F" w14:textId="7B3CF060" w:rsidR="000B3AC1" w:rsidRDefault="000B3AC1" w:rsidP="00274C21">
                            <w:pPr>
                              <w:ind w:firstLine="720"/>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BE521A">
                              <w:rPr>
                                <w:rFonts w:ascii="Arial" w:hAnsi="Arial" w:cs="Arial"/>
                                <w:sz w:val="20"/>
                                <w:szCs w:val="22"/>
                              </w:rPr>
                              <w:t>2022HOC0144</w:t>
                            </w:r>
                            <w:r w:rsidR="00031284">
                              <w:rPr>
                                <w:rFonts w:ascii="Arial" w:hAnsi="Arial" w:cs="Arial"/>
                                <w:sz w:val="20"/>
                                <w:szCs w:val="22"/>
                              </w:rPr>
                              <w:t>MR</w:t>
                            </w:r>
                          </w:p>
                          <w:p w14:paraId="440F852F" w14:textId="22753936" w:rsidR="006D76FE" w:rsidRDefault="006D76FE" w:rsidP="00274C21">
                            <w:pPr>
                              <w:ind w:firstLine="720"/>
                              <w:rPr>
                                <w:rFonts w:ascii="Arial" w:hAnsi="Arial" w:cs="Arial"/>
                                <w:sz w:val="20"/>
                                <w:szCs w:val="22"/>
                              </w:rPr>
                            </w:pPr>
                          </w:p>
                          <w:p w14:paraId="06209DFE" w14:textId="77777777" w:rsidR="006D76FE" w:rsidRPr="001E2008" w:rsidRDefault="006D76FE" w:rsidP="00274C21">
                            <w:pPr>
                              <w:ind w:firstLine="720"/>
                              <w:rPr>
                                <w:rFonts w:ascii="Arial" w:hAnsi="Arial" w:cs="Arial"/>
                                <w:sz w:val="20"/>
                                <w:szCs w:val="22"/>
                              </w:rPr>
                            </w:pP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0B81C" id="_x0000_t202" coordsize="21600,21600" o:spt="202" path="m,l,21600r21600,l21600,xe">
                <v:stroke joinstyle="miter"/>
                <v:path gradientshapeok="t" o:connecttype="rect"/>
              </v:shapetype>
              <v:shape id="Text Box 307" o:spid="_x0000_s1027"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" filled="f" stroked="f">
                <v:textbox>
                  <w:txbxContent>
                    <w:p w14:paraId="60415D9F" w14:textId="7B3CF060" w:rsidR="000B3AC1" w:rsidRDefault="000B3AC1" w:rsidP="00274C21">
                      <w:pPr>
                        <w:ind w:firstLine="720"/>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BE521A">
                        <w:rPr>
                          <w:rFonts w:ascii="Arial" w:hAnsi="Arial" w:cs="Arial"/>
                          <w:sz w:val="20"/>
                          <w:szCs w:val="22"/>
                        </w:rPr>
                        <w:t>2022HOC0144</w:t>
                      </w:r>
                      <w:r w:rsidR="00031284">
                        <w:rPr>
                          <w:rFonts w:ascii="Arial" w:hAnsi="Arial" w:cs="Arial"/>
                          <w:sz w:val="20"/>
                          <w:szCs w:val="22"/>
                        </w:rPr>
                        <w:t>MR</w:t>
                      </w:r>
                    </w:p>
                    <w:p w14:paraId="440F852F" w14:textId="22753936" w:rsidR="006D76FE" w:rsidRDefault="006D76FE" w:rsidP="00274C21">
                      <w:pPr>
                        <w:ind w:firstLine="720"/>
                        <w:rPr>
                          <w:rFonts w:ascii="Arial" w:hAnsi="Arial" w:cs="Arial"/>
                          <w:sz w:val="20"/>
                          <w:szCs w:val="22"/>
                        </w:rPr>
                      </w:pPr>
                    </w:p>
                    <w:p w14:paraId="06209DFE" w14:textId="77777777" w:rsidR="006D76FE" w:rsidRPr="001E2008" w:rsidRDefault="006D76FE" w:rsidP="00274C21">
                      <w:pPr>
                        <w:ind w:firstLine="720"/>
                        <w:rPr>
                          <w:rFonts w:ascii="Arial" w:hAnsi="Arial" w:cs="Arial"/>
                          <w:sz w:val="20"/>
                          <w:szCs w:val="22"/>
                        </w:rPr>
                      </w:pP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v:textbox>
              </v:shape>
            </w:pict>
          </mc:Fallback>
        </mc:AlternateContent>
      </w:r>
      <w:r w:rsidR="00343698">
        <w:rPr>
          <w:rFonts w:ascii="Arial" w:hAnsi="Arial" w:cs="Arial"/>
          <w:sz w:val="22"/>
          <w:szCs w:val="22"/>
        </w:rPr>
        <w:t>2020</w:t>
      </w:r>
    </w:p>
    <w:p w14:paraId="5FAF1821" w14:textId="16014A72" w:rsidR="000B3AC1" w:rsidRPr="005F4470" w:rsidRDefault="000B3AC1" w:rsidP="005744A5">
      <w:pPr>
        <w:tabs>
          <w:tab w:val="left" w:pos="10206"/>
        </w:tabs>
        <w:spacing w:line="240" w:lineRule="auto"/>
        <w:ind w:left="567" w:right="560"/>
        <w:jc w:val="both"/>
        <w:rPr>
          <w:rFonts w:ascii="Arial" w:hAnsi="Arial" w:cs="Arial"/>
          <w:sz w:val="22"/>
          <w:szCs w:val="22"/>
        </w:rPr>
      </w:pPr>
    </w:p>
    <w:p w14:paraId="5B3D871F" w14:textId="77777777" w:rsidR="000B3AC1" w:rsidRPr="005F4470" w:rsidRDefault="000B3AC1" w:rsidP="005744A5">
      <w:pPr>
        <w:tabs>
          <w:tab w:val="left" w:pos="10206"/>
        </w:tabs>
        <w:spacing w:line="240" w:lineRule="auto"/>
        <w:ind w:left="567" w:right="560"/>
        <w:jc w:val="both"/>
        <w:rPr>
          <w:rFonts w:ascii="Arial" w:hAnsi="Arial" w:cs="Arial"/>
          <w:sz w:val="22"/>
          <w:szCs w:val="22"/>
        </w:rPr>
      </w:pPr>
    </w:p>
    <w:p w14:paraId="6275A7FF" w14:textId="77777777" w:rsidR="000B3AC1" w:rsidRPr="005F4470" w:rsidRDefault="000B3AC1" w:rsidP="005744A5">
      <w:pPr>
        <w:tabs>
          <w:tab w:val="left" w:pos="10206"/>
        </w:tabs>
        <w:spacing w:line="240" w:lineRule="auto"/>
        <w:ind w:left="567" w:right="560"/>
        <w:jc w:val="both"/>
        <w:rPr>
          <w:rFonts w:ascii="Arial" w:hAnsi="Arial" w:cs="Arial"/>
          <w:sz w:val="22"/>
          <w:szCs w:val="22"/>
        </w:rPr>
      </w:pPr>
    </w:p>
    <w:p w14:paraId="56BAC584" w14:textId="77777777" w:rsidR="000B3AC1" w:rsidRPr="005F4470" w:rsidRDefault="000B3AC1" w:rsidP="005744A5">
      <w:pPr>
        <w:tabs>
          <w:tab w:val="left" w:pos="10206"/>
        </w:tabs>
        <w:spacing w:line="240" w:lineRule="auto"/>
        <w:ind w:left="567" w:right="560"/>
        <w:jc w:val="both"/>
        <w:rPr>
          <w:rFonts w:ascii="Arial" w:hAnsi="Arial" w:cs="Arial"/>
          <w:sz w:val="22"/>
          <w:szCs w:val="22"/>
        </w:rPr>
      </w:pPr>
    </w:p>
    <w:p w14:paraId="2DE572A5" w14:textId="0969F29D" w:rsidR="00274C21" w:rsidRPr="005744A5" w:rsidRDefault="00274C21" w:rsidP="005744A5">
      <w:pPr>
        <w:spacing w:line="240" w:lineRule="auto"/>
        <w:ind w:left="567"/>
        <w:jc w:val="both"/>
        <w:rPr>
          <w:rFonts w:ascii="Arial" w:hAnsi="Arial" w:cs="Arial"/>
          <w:sz w:val="22"/>
          <w:szCs w:val="22"/>
        </w:rPr>
      </w:pPr>
      <w:r w:rsidRPr="005744A5">
        <w:rPr>
          <w:rFonts w:ascii="Arial" w:hAnsi="Arial" w:cs="Arial"/>
          <w:sz w:val="22"/>
          <w:szCs w:val="22"/>
        </w:rPr>
        <w:t>Date:</w:t>
      </w:r>
      <w:r w:rsidRPr="005744A5">
        <w:rPr>
          <w:rFonts w:ascii="Arial" w:hAnsi="Arial" w:cs="Arial"/>
          <w:sz w:val="22"/>
          <w:szCs w:val="22"/>
        </w:rPr>
        <w:tab/>
      </w:r>
      <w:r w:rsidR="005744A5" w:rsidRPr="005744A5">
        <w:rPr>
          <w:rFonts w:ascii="Arial" w:hAnsi="Arial" w:cs="Arial"/>
          <w:sz w:val="22"/>
          <w:szCs w:val="22"/>
        </w:rPr>
        <w:t>22 December 2021</w:t>
      </w:r>
    </w:p>
    <w:p w14:paraId="1559862A" w14:textId="77777777" w:rsidR="00274C21" w:rsidRPr="005744A5" w:rsidRDefault="00274C21" w:rsidP="005744A5">
      <w:pPr>
        <w:spacing w:line="240" w:lineRule="auto"/>
        <w:ind w:left="567"/>
        <w:jc w:val="both"/>
        <w:rPr>
          <w:rFonts w:ascii="Arial" w:hAnsi="Arial" w:cs="Arial"/>
          <w:sz w:val="22"/>
          <w:szCs w:val="22"/>
        </w:rPr>
      </w:pPr>
    </w:p>
    <w:p w14:paraId="7CFB3E4B" w14:textId="77777777" w:rsidR="00031284" w:rsidRDefault="00031284" w:rsidP="00031284">
      <w:pPr>
        <w:spacing w:after="240" w:line="240" w:lineRule="auto"/>
        <w:ind w:left="567"/>
        <w:jc w:val="both"/>
        <w:rPr>
          <w:rFonts w:ascii="Arial" w:hAnsi="Arial" w:cs="Arial"/>
          <w:sz w:val="22"/>
          <w:szCs w:val="22"/>
        </w:rPr>
      </w:pPr>
      <w:r w:rsidRPr="00031284">
        <w:rPr>
          <w:rFonts w:ascii="Arial" w:hAnsi="Arial" w:cs="Arial"/>
          <w:sz w:val="22"/>
          <w:szCs w:val="22"/>
        </w:rPr>
        <w:t xml:space="preserve">  </w:t>
      </w:r>
      <w:bookmarkStart w:id="0" w:name="_GoBack"/>
      <w:bookmarkEnd w:id="0"/>
    </w:p>
    <w:p w14:paraId="7EEB1940" w14:textId="105B7409" w:rsidR="00031284" w:rsidRDefault="00031284" w:rsidP="00031284">
      <w:pPr>
        <w:spacing w:after="240" w:line="240" w:lineRule="auto"/>
        <w:ind w:left="567"/>
        <w:jc w:val="both"/>
        <w:rPr>
          <w:rFonts w:ascii="Arial" w:hAnsi="Arial" w:cs="Arial"/>
          <w:sz w:val="22"/>
          <w:szCs w:val="22"/>
        </w:rPr>
      </w:pPr>
      <w:r>
        <w:rPr>
          <w:rFonts w:ascii="Arial" w:hAnsi="Arial" w:cs="Arial"/>
          <w:sz w:val="22"/>
          <w:szCs w:val="22"/>
        </w:rPr>
        <w:t>Date:  14 March 2022</w:t>
      </w:r>
    </w:p>
    <w:p w14:paraId="66D8EA3E" w14:textId="77777777" w:rsidR="00031284" w:rsidRDefault="00031284" w:rsidP="00031284">
      <w:pPr>
        <w:spacing w:after="240" w:line="240" w:lineRule="auto"/>
        <w:ind w:left="567"/>
        <w:jc w:val="both"/>
        <w:rPr>
          <w:rFonts w:ascii="Arial" w:hAnsi="Arial" w:cs="Arial"/>
          <w:sz w:val="22"/>
          <w:szCs w:val="22"/>
        </w:rPr>
      </w:pPr>
    </w:p>
    <w:p w14:paraId="68F327E7" w14:textId="6ABF1254" w:rsidR="00031284" w:rsidRDefault="00031284" w:rsidP="00031284">
      <w:pPr>
        <w:spacing w:after="240" w:line="240" w:lineRule="auto"/>
        <w:ind w:left="567"/>
        <w:jc w:val="both"/>
        <w:rPr>
          <w:rFonts w:ascii="Arial" w:hAnsi="Arial" w:cs="Arial"/>
          <w:sz w:val="22"/>
          <w:szCs w:val="22"/>
        </w:rPr>
      </w:pPr>
      <w:r>
        <w:rPr>
          <w:rFonts w:ascii="Arial" w:hAnsi="Arial" w:cs="Arial"/>
          <w:sz w:val="22"/>
          <w:szCs w:val="22"/>
        </w:rPr>
        <w:t xml:space="preserve">To:      All Members </w:t>
      </w:r>
    </w:p>
    <w:p w14:paraId="000E13A2" w14:textId="4D91AEFE" w:rsidR="00031284" w:rsidRPr="00031284" w:rsidRDefault="00031284" w:rsidP="00031284">
      <w:pPr>
        <w:spacing w:after="240" w:line="240" w:lineRule="auto"/>
        <w:ind w:left="567"/>
        <w:jc w:val="both"/>
        <w:rPr>
          <w:rFonts w:ascii="Arial" w:eastAsia="Calibri" w:hAnsi="Arial" w:cs="Arial"/>
          <w:sz w:val="22"/>
          <w:szCs w:val="22"/>
        </w:rPr>
      </w:pPr>
      <w:r w:rsidRPr="00031284">
        <w:rPr>
          <w:rFonts w:ascii="Arial" w:eastAsia="Calibri" w:hAnsi="Arial" w:cs="Arial"/>
          <w:sz w:val="22"/>
          <w:szCs w:val="22"/>
        </w:rPr>
        <w:t>Dear Brother/Sister</w:t>
      </w:r>
    </w:p>
    <w:p w14:paraId="3713DE1B" w14:textId="77777777" w:rsidR="00031284" w:rsidRPr="00BA5017" w:rsidRDefault="00031284" w:rsidP="00031284">
      <w:pPr>
        <w:spacing w:line="240" w:lineRule="auto"/>
        <w:ind w:left="567"/>
        <w:jc w:val="both"/>
        <w:rPr>
          <w:rFonts w:ascii="Arial" w:eastAsia="Calibri" w:hAnsi="Arial" w:cs="Arial"/>
          <w:b/>
          <w:bCs/>
          <w:sz w:val="22"/>
          <w:szCs w:val="22"/>
          <w:u w:val="single"/>
        </w:rPr>
      </w:pPr>
      <w:r w:rsidRPr="00BA5017">
        <w:rPr>
          <w:rFonts w:ascii="Arial" w:eastAsia="Calibri" w:hAnsi="Arial" w:cs="Arial"/>
          <w:b/>
          <w:bCs/>
          <w:sz w:val="22"/>
          <w:szCs w:val="22"/>
          <w:u w:val="single"/>
        </w:rPr>
        <w:t>RDS Employment Tribunal Pension Claims</w:t>
      </w:r>
    </w:p>
    <w:p w14:paraId="103C8AC1" w14:textId="77777777" w:rsidR="00031284" w:rsidRPr="00BA5017" w:rsidRDefault="00031284" w:rsidP="00031284">
      <w:pPr>
        <w:spacing w:line="240" w:lineRule="auto"/>
        <w:ind w:left="567"/>
        <w:jc w:val="both"/>
        <w:rPr>
          <w:rFonts w:ascii="Arial" w:eastAsia="Calibri" w:hAnsi="Arial" w:cs="Arial"/>
          <w:b/>
          <w:bCs/>
          <w:sz w:val="22"/>
          <w:szCs w:val="22"/>
          <w:u w:val="single"/>
        </w:rPr>
      </w:pPr>
      <w:r w:rsidRPr="00BA5017">
        <w:rPr>
          <w:rFonts w:ascii="Arial" w:eastAsia="Calibri" w:hAnsi="Arial" w:cs="Arial"/>
          <w:b/>
          <w:bCs/>
          <w:sz w:val="22"/>
          <w:szCs w:val="22"/>
          <w:u w:val="single"/>
        </w:rPr>
        <w:t>(Matthews and others v Kent and Medway Towns Fire Authority and others)</w:t>
      </w:r>
    </w:p>
    <w:p w14:paraId="7DA3C029" w14:textId="77777777" w:rsidR="00031284" w:rsidRPr="00031284" w:rsidRDefault="00031284" w:rsidP="00031284">
      <w:pPr>
        <w:spacing w:line="240" w:lineRule="auto"/>
        <w:ind w:left="567"/>
        <w:jc w:val="both"/>
        <w:rPr>
          <w:rFonts w:ascii="Arial" w:eastAsia="Calibri" w:hAnsi="Arial" w:cs="Arial"/>
          <w:sz w:val="22"/>
          <w:szCs w:val="22"/>
          <w:u w:val="single"/>
        </w:rPr>
      </w:pPr>
    </w:p>
    <w:p w14:paraId="0E0FF1FD"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All Members Circular </w:t>
      </w:r>
      <w:r w:rsidRPr="00031284">
        <w:rPr>
          <w:rFonts w:ascii="Arial" w:eastAsia="Calibri" w:hAnsi="Arial" w:cs="Arial"/>
          <w:b/>
          <w:sz w:val="22"/>
          <w:szCs w:val="22"/>
        </w:rPr>
        <w:t>2021HOC0445MR</w:t>
      </w:r>
      <w:r w:rsidRPr="00031284">
        <w:rPr>
          <w:rFonts w:ascii="Arial" w:eastAsia="Calibri" w:hAnsi="Arial" w:cs="Arial"/>
          <w:sz w:val="22"/>
          <w:szCs w:val="22"/>
        </w:rPr>
        <w:t xml:space="preserve"> 23 August 2021 (relevant section reproduced as appendix) provided an update on the negotiations with the Home Office and the FRAs nationally to bring final settlement to the pensions aspects of the Employment Tribunal claims brought on behalf of Retained Duty System (RDS) Members under the Part-Time Workers (Prevention of Less Favourable Treatment) Regulations 2000 (‘PTWR’). </w:t>
      </w:r>
    </w:p>
    <w:p w14:paraId="14C32B96" w14:textId="77777777" w:rsidR="00031284" w:rsidRPr="00031284" w:rsidRDefault="00031284" w:rsidP="00031284">
      <w:pPr>
        <w:spacing w:line="240" w:lineRule="auto"/>
        <w:ind w:left="567"/>
        <w:jc w:val="both"/>
        <w:rPr>
          <w:rFonts w:ascii="Arial" w:eastAsia="Calibri" w:hAnsi="Arial" w:cs="Arial"/>
          <w:sz w:val="22"/>
          <w:szCs w:val="22"/>
        </w:rPr>
      </w:pPr>
    </w:p>
    <w:p w14:paraId="1E6BE792" w14:textId="4BECDDCD" w:rsidR="00031284" w:rsidRPr="00031284" w:rsidRDefault="00031284" w:rsidP="00031284">
      <w:pPr>
        <w:numPr>
          <w:ilvl w:val="0"/>
          <w:numId w:val="10"/>
        </w:numPr>
        <w:tabs>
          <w:tab w:val="left" w:pos="1701"/>
        </w:tabs>
        <w:spacing w:line="240" w:lineRule="auto"/>
        <w:ind w:left="1276" w:hanging="283"/>
        <w:jc w:val="both"/>
        <w:rPr>
          <w:rFonts w:ascii="Arial" w:eastAsia="Calibri" w:hAnsi="Arial" w:cs="Arial"/>
          <w:b/>
          <w:sz w:val="22"/>
          <w:szCs w:val="22"/>
          <w:u w:val="single"/>
        </w:rPr>
      </w:pPr>
      <w:r>
        <w:rPr>
          <w:rFonts w:ascii="Arial" w:eastAsia="Calibri" w:hAnsi="Arial" w:cs="Arial"/>
          <w:b/>
          <w:sz w:val="22"/>
          <w:szCs w:val="22"/>
          <w:u w:val="single"/>
        </w:rPr>
        <w:t>S</w:t>
      </w:r>
      <w:r w:rsidRPr="00031284">
        <w:rPr>
          <w:rFonts w:ascii="Arial" w:eastAsia="Calibri" w:hAnsi="Arial" w:cs="Arial"/>
          <w:b/>
          <w:sz w:val="22"/>
          <w:szCs w:val="22"/>
          <w:u w:val="single"/>
        </w:rPr>
        <w:t>uccessful conclusion of negotiations</w:t>
      </w:r>
    </w:p>
    <w:p w14:paraId="2C9F89DB" w14:textId="77777777" w:rsidR="00031284" w:rsidRPr="00031284" w:rsidRDefault="00031284" w:rsidP="00031284">
      <w:pPr>
        <w:spacing w:line="240" w:lineRule="auto"/>
        <w:ind w:left="1276"/>
        <w:jc w:val="both"/>
        <w:rPr>
          <w:rFonts w:ascii="Arial" w:eastAsia="Calibri" w:hAnsi="Arial" w:cs="Arial"/>
          <w:sz w:val="22"/>
          <w:szCs w:val="22"/>
        </w:rPr>
      </w:pPr>
    </w:p>
    <w:p w14:paraId="7F786AC6" w14:textId="62515BF4"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Those negotiations have now been concluded successfully. A Memorandum of Understanding has been agreed </w:t>
      </w:r>
      <w:r w:rsidR="00BE521A">
        <w:rPr>
          <w:rFonts w:ascii="Arial" w:eastAsia="Calibri" w:hAnsi="Arial" w:cs="Arial"/>
          <w:sz w:val="22"/>
          <w:szCs w:val="22"/>
        </w:rPr>
        <w:t>between the Fire Brigades Union,</w:t>
      </w:r>
      <w:r w:rsidRPr="00031284">
        <w:rPr>
          <w:rFonts w:ascii="Arial" w:eastAsia="Calibri" w:hAnsi="Arial" w:cs="Arial"/>
          <w:sz w:val="22"/>
          <w:szCs w:val="22"/>
        </w:rPr>
        <w:t xml:space="preserve"> the Home Office and FRA employers nationally, which will form the basis of changes to the pension scheme regulations.  </w:t>
      </w:r>
    </w:p>
    <w:p w14:paraId="49A5346D" w14:textId="77777777" w:rsidR="00031284" w:rsidRPr="00031284" w:rsidRDefault="00031284" w:rsidP="00031284">
      <w:pPr>
        <w:spacing w:line="240" w:lineRule="auto"/>
        <w:ind w:left="567"/>
        <w:jc w:val="both"/>
        <w:rPr>
          <w:rFonts w:ascii="Arial" w:eastAsia="Calibri" w:hAnsi="Arial" w:cs="Arial"/>
          <w:sz w:val="22"/>
          <w:szCs w:val="22"/>
        </w:rPr>
      </w:pPr>
    </w:p>
    <w:p w14:paraId="61D9153C"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The FBU can therefore confirm as follows:</w:t>
      </w:r>
    </w:p>
    <w:p w14:paraId="60107E41" w14:textId="77777777" w:rsidR="00031284" w:rsidRPr="00031284" w:rsidRDefault="00031284" w:rsidP="00031284">
      <w:pPr>
        <w:spacing w:line="240" w:lineRule="auto"/>
        <w:ind w:left="567"/>
        <w:jc w:val="both"/>
        <w:rPr>
          <w:rFonts w:ascii="Arial" w:eastAsia="Calibri" w:hAnsi="Arial" w:cs="Arial"/>
          <w:sz w:val="22"/>
          <w:szCs w:val="22"/>
        </w:rPr>
      </w:pPr>
    </w:p>
    <w:p w14:paraId="73C86D2F" w14:textId="77777777" w:rsidR="00031284" w:rsidRPr="00031284" w:rsidRDefault="00031284" w:rsidP="00031284">
      <w:pPr>
        <w:numPr>
          <w:ilvl w:val="0"/>
          <w:numId w:val="11"/>
        </w:numPr>
        <w:spacing w:line="240" w:lineRule="auto"/>
        <w:ind w:left="1701" w:hanging="708"/>
        <w:jc w:val="both"/>
        <w:rPr>
          <w:rFonts w:ascii="Arial" w:eastAsia="Calibri" w:hAnsi="Arial" w:cs="Arial"/>
          <w:sz w:val="22"/>
          <w:szCs w:val="22"/>
        </w:rPr>
      </w:pPr>
      <w:r w:rsidRPr="00031284">
        <w:rPr>
          <w:rFonts w:ascii="Arial" w:eastAsia="Calibri" w:hAnsi="Arial" w:cs="Arial"/>
          <w:sz w:val="22"/>
          <w:szCs w:val="22"/>
        </w:rPr>
        <w:t>It has been agreed with the Home Office and FRAs that Members’ claims will be resolved via a second options exercise, pursuant to legislation; and</w:t>
      </w:r>
    </w:p>
    <w:p w14:paraId="6B11A1A7" w14:textId="77777777" w:rsidR="00031284" w:rsidRPr="00031284" w:rsidRDefault="00031284" w:rsidP="00031284">
      <w:pPr>
        <w:numPr>
          <w:ilvl w:val="0"/>
          <w:numId w:val="11"/>
        </w:numPr>
        <w:spacing w:line="240" w:lineRule="auto"/>
        <w:ind w:left="1701" w:hanging="708"/>
        <w:jc w:val="both"/>
        <w:rPr>
          <w:rFonts w:ascii="Arial" w:eastAsia="Calibri" w:hAnsi="Arial" w:cs="Arial"/>
          <w:sz w:val="22"/>
          <w:szCs w:val="22"/>
        </w:rPr>
      </w:pPr>
      <w:r w:rsidRPr="00031284">
        <w:rPr>
          <w:rFonts w:ascii="Arial" w:eastAsia="Calibri" w:hAnsi="Arial" w:cs="Arial"/>
          <w:sz w:val="22"/>
          <w:szCs w:val="22"/>
        </w:rPr>
        <w:t xml:space="preserve">A detailed explanation of the terms of the </w:t>
      </w:r>
      <w:r w:rsidRPr="00031284">
        <w:rPr>
          <w:rFonts w:ascii="Arial" w:eastAsia="Calibri" w:hAnsi="Arial" w:cs="Arial"/>
          <w:b/>
          <w:bCs/>
          <w:sz w:val="22"/>
          <w:szCs w:val="22"/>
        </w:rPr>
        <w:t>second options exercise</w:t>
      </w:r>
      <w:r w:rsidRPr="00031284">
        <w:rPr>
          <w:rFonts w:ascii="Arial" w:eastAsia="Calibri" w:hAnsi="Arial" w:cs="Arial"/>
          <w:sz w:val="22"/>
          <w:szCs w:val="22"/>
        </w:rPr>
        <w:t xml:space="preserve"> will be provided once the required legislation has been produced by the Home Office in draft.   </w:t>
      </w:r>
    </w:p>
    <w:p w14:paraId="1E736DFE" w14:textId="77777777" w:rsidR="00031284" w:rsidRPr="00031284" w:rsidRDefault="00031284" w:rsidP="00031284">
      <w:pPr>
        <w:spacing w:line="240" w:lineRule="auto"/>
        <w:ind w:left="2127" w:hanging="851"/>
        <w:jc w:val="both"/>
        <w:rPr>
          <w:rFonts w:ascii="Arial" w:eastAsia="Calibri" w:hAnsi="Arial" w:cs="Arial"/>
          <w:sz w:val="22"/>
          <w:szCs w:val="22"/>
        </w:rPr>
      </w:pPr>
    </w:p>
    <w:p w14:paraId="4D4F7985"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This means that, once the necessary amendments have been made to the pension scheme regulations, there will be a second options exercise open to those with relevant RDS service which began before 6 April 2006, regardless of whether the RDS firefighter presented a claim to the Employment Tribunal or not. With one exception (below), this will apply to those with service as an RDS firefighter between 7 April 2000 and 5 April 2006, regardless of whether they declined an offer of membership of the NFPS under the first options exercise.</w:t>
      </w:r>
    </w:p>
    <w:p w14:paraId="7CF5D1C2" w14:textId="77777777" w:rsidR="00031284" w:rsidRDefault="00031284" w:rsidP="00031284">
      <w:pPr>
        <w:spacing w:line="240" w:lineRule="auto"/>
        <w:ind w:left="567"/>
        <w:jc w:val="both"/>
        <w:rPr>
          <w:rFonts w:ascii="Arial" w:eastAsia="Calibri" w:hAnsi="Arial" w:cs="Arial"/>
          <w:sz w:val="22"/>
          <w:szCs w:val="22"/>
        </w:rPr>
      </w:pPr>
    </w:p>
    <w:p w14:paraId="3E2BC56A" w14:textId="77777777" w:rsidR="00031284" w:rsidRDefault="00031284" w:rsidP="00031284">
      <w:pPr>
        <w:spacing w:line="240" w:lineRule="auto"/>
        <w:ind w:left="567"/>
        <w:jc w:val="both"/>
        <w:rPr>
          <w:rFonts w:ascii="Arial" w:eastAsia="Calibri" w:hAnsi="Arial" w:cs="Arial"/>
          <w:sz w:val="22"/>
          <w:szCs w:val="22"/>
        </w:rPr>
      </w:pPr>
    </w:p>
    <w:p w14:paraId="304149E7" w14:textId="77777777" w:rsidR="00031284" w:rsidRDefault="00031284" w:rsidP="00031284">
      <w:pPr>
        <w:spacing w:line="240" w:lineRule="auto"/>
        <w:ind w:left="567"/>
        <w:jc w:val="both"/>
        <w:rPr>
          <w:rFonts w:ascii="Arial" w:eastAsia="Calibri" w:hAnsi="Arial" w:cs="Arial"/>
          <w:sz w:val="22"/>
          <w:szCs w:val="22"/>
        </w:rPr>
      </w:pPr>
    </w:p>
    <w:p w14:paraId="53BCE6F4" w14:textId="77777777" w:rsidR="00031284" w:rsidRDefault="00031284" w:rsidP="00031284">
      <w:pPr>
        <w:spacing w:line="240" w:lineRule="auto"/>
        <w:ind w:left="567"/>
        <w:jc w:val="both"/>
        <w:rPr>
          <w:rFonts w:ascii="Arial" w:eastAsia="Calibri" w:hAnsi="Arial" w:cs="Arial"/>
          <w:sz w:val="22"/>
          <w:szCs w:val="22"/>
        </w:rPr>
      </w:pPr>
    </w:p>
    <w:p w14:paraId="10F4F5C9" w14:textId="2A9F36D9" w:rsidR="00031284" w:rsidRDefault="00031284" w:rsidP="00031284">
      <w:pPr>
        <w:spacing w:line="240" w:lineRule="auto"/>
        <w:ind w:left="567"/>
        <w:jc w:val="right"/>
        <w:rPr>
          <w:rFonts w:ascii="Arial" w:eastAsia="Calibri" w:hAnsi="Arial" w:cs="Arial"/>
          <w:sz w:val="22"/>
          <w:szCs w:val="22"/>
        </w:rPr>
      </w:pPr>
      <w:r>
        <w:rPr>
          <w:rFonts w:ascii="Arial" w:eastAsia="Calibri" w:hAnsi="Arial" w:cs="Arial"/>
          <w:sz w:val="22"/>
          <w:szCs w:val="22"/>
        </w:rPr>
        <w:t>1.</w:t>
      </w:r>
    </w:p>
    <w:p w14:paraId="2085DD03" w14:textId="77777777" w:rsidR="00031284" w:rsidRDefault="00031284" w:rsidP="00031284">
      <w:pPr>
        <w:spacing w:line="240" w:lineRule="auto"/>
        <w:ind w:left="567"/>
        <w:jc w:val="both"/>
        <w:rPr>
          <w:rFonts w:ascii="Arial" w:eastAsia="Calibri" w:hAnsi="Arial" w:cs="Arial"/>
          <w:sz w:val="22"/>
          <w:szCs w:val="22"/>
        </w:rPr>
      </w:pPr>
    </w:p>
    <w:p w14:paraId="4A7C9062" w14:textId="77777777" w:rsidR="00031284" w:rsidRDefault="00031284" w:rsidP="00031284">
      <w:pPr>
        <w:spacing w:line="240" w:lineRule="auto"/>
        <w:ind w:left="567"/>
        <w:jc w:val="both"/>
        <w:rPr>
          <w:rFonts w:ascii="Arial" w:eastAsia="Calibri" w:hAnsi="Arial" w:cs="Arial"/>
          <w:sz w:val="22"/>
          <w:szCs w:val="22"/>
        </w:rPr>
      </w:pPr>
    </w:p>
    <w:p w14:paraId="7D7CF5A3"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lastRenderedPageBreak/>
        <w:t xml:space="preserve">The exception will be RDS firefighters with exclusively post 1 July 2000 service because the offer they would receive under the second options exercise would not include any service in excess of that which should have been included in the offer under the first options exercise. If the FRA is able to prove that such RDS firefighters were given an opportunity to take part in the first options exercise, they will not be entitled to take part in the second options exercise.  </w:t>
      </w:r>
    </w:p>
    <w:p w14:paraId="154CD480" w14:textId="77777777" w:rsidR="00031284" w:rsidRPr="00031284" w:rsidRDefault="00031284" w:rsidP="00031284">
      <w:pPr>
        <w:spacing w:line="240" w:lineRule="auto"/>
        <w:ind w:left="567"/>
        <w:jc w:val="both"/>
        <w:rPr>
          <w:rFonts w:ascii="Arial" w:eastAsia="Calibri" w:hAnsi="Arial" w:cs="Arial"/>
          <w:sz w:val="22"/>
          <w:szCs w:val="22"/>
        </w:rPr>
      </w:pPr>
    </w:p>
    <w:p w14:paraId="15B63517"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It will take 18 months for the necessary legislation to amend the pension regulations to be prepared and passed through parliament. The second options exercise will start once that legislation has been passed.   </w:t>
      </w:r>
    </w:p>
    <w:p w14:paraId="0A1F7898" w14:textId="77777777" w:rsidR="00031284" w:rsidRPr="00031284" w:rsidRDefault="00031284" w:rsidP="00031284">
      <w:pPr>
        <w:spacing w:line="240" w:lineRule="auto"/>
        <w:ind w:left="567"/>
        <w:jc w:val="both"/>
        <w:rPr>
          <w:rFonts w:ascii="Arial" w:eastAsia="Calibri" w:hAnsi="Arial" w:cs="Arial"/>
          <w:sz w:val="22"/>
          <w:szCs w:val="22"/>
        </w:rPr>
      </w:pPr>
    </w:p>
    <w:p w14:paraId="74620C66"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For the time being, the Memorandum of Understanding applies only to those employed in England. However, previous agreements have subsequently been applied to Scotland, Wales and Northern Ireland.  </w:t>
      </w:r>
    </w:p>
    <w:p w14:paraId="70829332" w14:textId="77777777" w:rsidR="00031284" w:rsidRPr="00031284" w:rsidRDefault="00031284" w:rsidP="00031284">
      <w:pPr>
        <w:tabs>
          <w:tab w:val="left" w:pos="1701"/>
        </w:tabs>
        <w:spacing w:line="240" w:lineRule="auto"/>
        <w:ind w:left="567"/>
        <w:jc w:val="both"/>
        <w:rPr>
          <w:rFonts w:ascii="Arial" w:eastAsia="Calibri" w:hAnsi="Arial" w:cs="Arial"/>
          <w:sz w:val="22"/>
          <w:szCs w:val="22"/>
        </w:rPr>
      </w:pPr>
    </w:p>
    <w:p w14:paraId="5C55E5F7" w14:textId="77777777" w:rsidR="00031284" w:rsidRPr="00031284" w:rsidRDefault="00031284" w:rsidP="00031284">
      <w:pPr>
        <w:numPr>
          <w:ilvl w:val="0"/>
          <w:numId w:val="10"/>
        </w:numPr>
        <w:tabs>
          <w:tab w:val="left" w:pos="1276"/>
        </w:tabs>
        <w:spacing w:line="240" w:lineRule="auto"/>
        <w:ind w:left="993" w:firstLine="0"/>
        <w:jc w:val="both"/>
        <w:rPr>
          <w:rFonts w:ascii="Arial" w:eastAsia="Calibri" w:hAnsi="Arial" w:cs="Arial"/>
          <w:b/>
          <w:sz w:val="22"/>
          <w:szCs w:val="22"/>
          <w:u w:val="single"/>
        </w:rPr>
      </w:pPr>
      <w:r w:rsidRPr="00031284">
        <w:rPr>
          <w:rFonts w:ascii="Arial" w:eastAsia="Calibri" w:hAnsi="Arial" w:cs="Arial"/>
          <w:b/>
          <w:sz w:val="22"/>
          <w:szCs w:val="22"/>
          <w:u w:val="single"/>
        </w:rPr>
        <w:t xml:space="preserve">Unresolved issue: transfers from RDS to </w:t>
      </w:r>
      <w:proofErr w:type="spellStart"/>
      <w:r w:rsidRPr="00031284">
        <w:rPr>
          <w:rFonts w:ascii="Arial" w:eastAsia="Calibri" w:hAnsi="Arial" w:cs="Arial"/>
          <w:b/>
          <w:sz w:val="22"/>
          <w:szCs w:val="22"/>
          <w:u w:val="single"/>
        </w:rPr>
        <w:t>wholetime</w:t>
      </w:r>
      <w:proofErr w:type="spellEnd"/>
    </w:p>
    <w:p w14:paraId="666417DC" w14:textId="77777777" w:rsidR="00031284" w:rsidRPr="00031284" w:rsidRDefault="00031284" w:rsidP="00031284">
      <w:pPr>
        <w:tabs>
          <w:tab w:val="left" w:pos="1276"/>
        </w:tabs>
        <w:spacing w:line="240" w:lineRule="auto"/>
        <w:ind w:left="567"/>
        <w:jc w:val="both"/>
        <w:rPr>
          <w:rFonts w:ascii="Arial" w:eastAsia="Calibri" w:hAnsi="Arial" w:cs="Arial"/>
          <w:b/>
          <w:sz w:val="22"/>
          <w:szCs w:val="22"/>
          <w:u w:val="single"/>
        </w:rPr>
      </w:pPr>
    </w:p>
    <w:p w14:paraId="28F438AD"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There is, however, an area under further consideration in relation to transfers from RDS to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This is likely to apply in the main to members who transferred from RDS to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before 6 April 2006. But it could also arise for those who transferred from RDS to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after that date. This issue will be the subject of a further Circular, to follow shortly, which will invite members to submit details via an online questionnaire.</w:t>
      </w:r>
    </w:p>
    <w:p w14:paraId="3C2F11F3" w14:textId="77777777" w:rsidR="00031284" w:rsidRPr="00031284" w:rsidRDefault="00031284" w:rsidP="00031284">
      <w:pPr>
        <w:spacing w:line="240" w:lineRule="auto"/>
        <w:ind w:left="567"/>
        <w:jc w:val="both"/>
        <w:rPr>
          <w:rFonts w:ascii="Arial" w:eastAsia="Calibri" w:hAnsi="Arial" w:cs="Arial"/>
          <w:sz w:val="22"/>
          <w:szCs w:val="22"/>
        </w:rPr>
      </w:pPr>
    </w:p>
    <w:p w14:paraId="74D06D98"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Members who will be invited to submit details via the online questionnaire will be as follows: </w:t>
      </w:r>
    </w:p>
    <w:p w14:paraId="7B0943A5" w14:textId="77777777" w:rsidR="00031284" w:rsidRPr="00031284" w:rsidRDefault="00031284" w:rsidP="00031284">
      <w:pPr>
        <w:spacing w:line="240" w:lineRule="auto"/>
        <w:ind w:left="567"/>
        <w:jc w:val="both"/>
        <w:rPr>
          <w:rFonts w:ascii="Arial" w:eastAsia="Calibri" w:hAnsi="Arial" w:cs="Arial"/>
          <w:sz w:val="22"/>
          <w:szCs w:val="22"/>
        </w:rPr>
      </w:pPr>
    </w:p>
    <w:p w14:paraId="2D7512A5" w14:textId="77777777" w:rsidR="00031284" w:rsidRPr="00031284" w:rsidRDefault="00031284" w:rsidP="00031284">
      <w:pPr>
        <w:numPr>
          <w:ilvl w:val="0"/>
          <w:numId w:val="12"/>
        </w:numPr>
        <w:spacing w:line="240" w:lineRule="auto"/>
        <w:ind w:left="1418" w:hanging="284"/>
        <w:jc w:val="both"/>
        <w:rPr>
          <w:rFonts w:ascii="Arial" w:eastAsia="Calibri" w:hAnsi="Arial" w:cs="Arial"/>
          <w:sz w:val="22"/>
          <w:szCs w:val="22"/>
        </w:rPr>
      </w:pPr>
      <w:r w:rsidRPr="00031284">
        <w:rPr>
          <w:rFonts w:ascii="Arial" w:eastAsia="Calibri" w:hAnsi="Arial" w:cs="Arial"/>
          <w:sz w:val="22"/>
          <w:szCs w:val="22"/>
        </w:rPr>
        <w:t xml:space="preserve">Members  who were previously employed on the Retained Duty System  who transferred to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w:t>
      </w:r>
      <w:r w:rsidRPr="00031284">
        <w:rPr>
          <w:rFonts w:ascii="Arial" w:eastAsia="Calibri" w:hAnsi="Arial" w:cs="Arial"/>
          <w:sz w:val="22"/>
          <w:szCs w:val="22"/>
          <w:u w:val="single"/>
        </w:rPr>
        <w:t>before</w:t>
      </w:r>
      <w:r w:rsidRPr="00031284">
        <w:rPr>
          <w:rFonts w:ascii="Arial" w:eastAsia="Calibri" w:hAnsi="Arial" w:cs="Arial"/>
          <w:sz w:val="22"/>
          <w:szCs w:val="22"/>
        </w:rPr>
        <w:t xml:space="preserve"> 6 April 2006 (without a break), and joined the FPS, </w:t>
      </w:r>
      <w:r w:rsidRPr="00031284">
        <w:rPr>
          <w:rFonts w:ascii="Arial" w:eastAsia="Calibri" w:hAnsi="Arial" w:cs="Arial"/>
          <w:sz w:val="22"/>
          <w:szCs w:val="22"/>
          <w:u w:val="single"/>
        </w:rPr>
        <w:t>and</w:t>
      </w:r>
      <w:r w:rsidRPr="00031284">
        <w:rPr>
          <w:rFonts w:ascii="Arial" w:eastAsia="Calibri" w:hAnsi="Arial" w:cs="Arial"/>
          <w:sz w:val="22"/>
          <w:szCs w:val="22"/>
        </w:rPr>
        <w:t xml:space="preserve"> for whom:</w:t>
      </w:r>
    </w:p>
    <w:p w14:paraId="7F590799" w14:textId="77777777" w:rsidR="00031284" w:rsidRPr="00031284" w:rsidRDefault="00031284" w:rsidP="00031284">
      <w:pPr>
        <w:spacing w:line="240" w:lineRule="auto"/>
        <w:ind w:left="2127" w:hanging="709"/>
        <w:jc w:val="both"/>
        <w:rPr>
          <w:rFonts w:ascii="Arial" w:eastAsia="Calibri" w:hAnsi="Arial" w:cs="Arial"/>
          <w:sz w:val="22"/>
          <w:szCs w:val="22"/>
        </w:rPr>
      </w:pPr>
    </w:p>
    <w:p w14:paraId="1585799D"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the sum of (a) RDS service expressed as a proportion of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service* and (b)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service, will reach at least 20 years before the member reaches age 55; and </w:t>
      </w:r>
    </w:p>
    <w:p w14:paraId="3C97276B" w14:textId="77777777" w:rsidR="00031284" w:rsidRPr="00031284" w:rsidRDefault="00031284" w:rsidP="00031284">
      <w:pPr>
        <w:spacing w:line="240" w:lineRule="auto"/>
        <w:ind w:left="567"/>
        <w:jc w:val="both"/>
        <w:rPr>
          <w:rFonts w:ascii="Arial" w:eastAsia="Calibri" w:hAnsi="Arial" w:cs="Arial"/>
          <w:sz w:val="22"/>
          <w:szCs w:val="22"/>
        </w:rPr>
      </w:pPr>
    </w:p>
    <w:p w14:paraId="0DD0143B" w14:textId="77777777" w:rsidR="00031284" w:rsidRPr="00031284" w:rsidRDefault="00031284" w:rsidP="00031284">
      <w:pPr>
        <w:numPr>
          <w:ilvl w:val="0"/>
          <w:numId w:val="12"/>
        </w:numPr>
        <w:spacing w:line="240" w:lineRule="auto"/>
        <w:ind w:left="1418" w:hanging="284"/>
        <w:jc w:val="both"/>
        <w:rPr>
          <w:rFonts w:ascii="Arial" w:eastAsia="Calibri" w:hAnsi="Arial" w:cs="Arial"/>
          <w:sz w:val="22"/>
          <w:szCs w:val="22"/>
        </w:rPr>
      </w:pPr>
      <w:r w:rsidRPr="00031284">
        <w:rPr>
          <w:rFonts w:ascii="Arial" w:eastAsia="Calibri" w:hAnsi="Arial" w:cs="Arial"/>
          <w:sz w:val="22"/>
          <w:szCs w:val="22"/>
        </w:rPr>
        <w:t xml:space="preserve">Members who were previously employed on the RDS who transferred to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service </w:t>
      </w:r>
      <w:r w:rsidRPr="00031284">
        <w:rPr>
          <w:rFonts w:ascii="Arial" w:eastAsia="Calibri" w:hAnsi="Arial" w:cs="Arial"/>
          <w:sz w:val="22"/>
          <w:szCs w:val="22"/>
          <w:u w:val="single"/>
        </w:rPr>
        <w:t>after</w:t>
      </w:r>
      <w:r w:rsidRPr="00031284">
        <w:rPr>
          <w:rFonts w:ascii="Arial" w:eastAsia="Calibri" w:hAnsi="Arial" w:cs="Arial"/>
          <w:sz w:val="22"/>
          <w:szCs w:val="22"/>
        </w:rPr>
        <w:t xml:space="preserve"> 6 April 2006 (without a break), and who joined the NFPS in respect of their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and who also took up membership of the NFPS in respect of their RDS employment under the first options exercise </w:t>
      </w:r>
      <w:r w:rsidRPr="00031284">
        <w:rPr>
          <w:rFonts w:ascii="Arial" w:eastAsia="Calibri" w:hAnsi="Arial" w:cs="Arial"/>
          <w:sz w:val="22"/>
          <w:szCs w:val="22"/>
          <w:u w:val="single"/>
        </w:rPr>
        <w:t>and</w:t>
      </w:r>
      <w:r w:rsidRPr="00031284">
        <w:rPr>
          <w:rFonts w:ascii="Arial" w:eastAsia="Calibri" w:hAnsi="Arial" w:cs="Arial"/>
          <w:sz w:val="22"/>
          <w:szCs w:val="22"/>
        </w:rPr>
        <w:t xml:space="preserve"> for whom:</w:t>
      </w:r>
    </w:p>
    <w:p w14:paraId="02A4E58B" w14:textId="77777777" w:rsidR="00031284" w:rsidRPr="00031284" w:rsidRDefault="00031284" w:rsidP="00031284">
      <w:pPr>
        <w:spacing w:line="240" w:lineRule="auto"/>
        <w:ind w:left="1418" w:hanging="284"/>
        <w:jc w:val="both"/>
        <w:rPr>
          <w:rFonts w:ascii="Arial" w:eastAsia="Calibri" w:hAnsi="Arial" w:cs="Arial"/>
          <w:sz w:val="22"/>
          <w:szCs w:val="22"/>
        </w:rPr>
      </w:pPr>
    </w:p>
    <w:p w14:paraId="0B06AB43" w14:textId="3B0000FC" w:rsidR="00031284" w:rsidRPr="00031284" w:rsidRDefault="00031284" w:rsidP="00031284">
      <w:pPr>
        <w:spacing w:line="240" w:lineRule="auto"/>
        <w:ind w:left="1418" w:hanging="284"/>
        <w:jc w:val="both"/>
        <w:rPr>
          <w:rFonts w:ascii="Arial" w:eastAsia="Calibri" w:hAnsi="Arial" w:cs="Arial"/>
          <w:sz w:val="22"/>
          <w:szCs w:val="22"/>
        </w:rPr>
      </w:pPr>
      <w:r>
        <w:rPr>
          <w:rFonts w:ascii="Arial" w:eastAsia="Calibri" w:hAnsi="Arial" w:cs="Arial"/>
          <w:sz w:val="22"/>
          <w:szCs w:val="22"/>
        </w:rPr>
        <w:t xml:space="preserve">     </w:t>
      </w:r>
      <w:proofErr w:type="gramStart"/>
      <w:r w:rsidRPr="00031284">
        <w:rPr>
          <w:rFonts w:ascii="Arial" w:eastAsia="Calibri" w:hAnsi="Arial" w:cs="Arial"/>
          <w:sz w:val="22"/>
          <w:szCs w:val="22"/>
        </w:rPr>
        <w:t>the</w:t>
      </w:r>
      <w:proofErr w:type="gramEnd"/>
      <w:r w:rsidRPr="00031284">
        <w:rPr>
          <w:rFonts w:ascii="Arial" w:eastAsia="Calibri" w:hAnsi="Arial" w:cs="Arial"/>
          <w:sz w:val="22"/>
          <w:szCs w:val="22"/>
        </w:rPr>
        <w:t xml:space="preserve"> sum of (a) RDS service expressed as a proportion of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and (b)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will reach at least 20 years before the member reaches age 55.</w:t>
      </w:r>
    </w:p>
    <w:p w14:paraId="19E4F1CD" w14:textId="77777777" w:rsidR="00031284" w:rsidRPr="00031284" w:rsidRDefault="00031284" w:rsidP="00031284">
      <w:pPr>
        <w:spacing w:line="240" w:lineRule="auto"/>
        <w:ind w:left="2127" w:hanging="709"/>
        <w:jc w:val="both"/>
        <w:rPr>
          <w:rFonts w:ascii="Arial" w:eastAsia="Calibri" w:hAnsi="Arial" w:cs="Arial"/>
          <w:sz w:val="22"/>
          <w:szCs w:val="22"/>
        </w:rPr>
      </w:pPr>
    </w:p>
    <w:p w14:paraId="7F1D0260"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In the case of both categories, members do not need to have reached 20 years’ employment in respect of aggregated RDS and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w:t>
      </w:r>
      <w:r w:rsidRPr="00031284">
        <w:rPr>
          <w:rFonts w:ascii="Arial" w:eastAsia="Calibri" w:hAnsi="Arial" w:cs="Arial"/>
          <w:sz w:val="22"/>
          <w:szCs w:val="22"/>
          <w:u w:val="single"/>
        </w:rPr>
        <w:t>already</w:t>
      </w:r>
      <w:r w:rsidRPr="00031284">
        <w:rPr>
          <w:rFonts w:ascii="Arial" w:eastAsia="Calibri" w:hAnsi="Arial" w:cs="Arial"/>
          <w:sz w:val="22"/>
          <w:szCs w:val="22"/>
        </w:rPr>
        <w:t xml:space="preserve">. Members to be invited to come forward will be those who </w:t>
      </w:r>
      <w:r w:rsidRPr="00031284">
        <w:rPr>
          <w:rFonts w:ascii="Arial" w:eastAsia="Calibri" w:hAnsi="Arial" w:cs="Arial"/>
          <w:sz w:val="22"/>
          <w:szCs w:val="22"/>
          <w:u w:val="single"/>
        </w:rPr>
        <w:t>will</w:t>
      </w:r>
      <w:r w:rsidRPr="00031284">
        <w:rPr>
          <w:rFonts w:ascii="Arial" w:eastAsia="Calibri" w:hAnsi="Arial" w:cs="Arial"/>
          <w:sz w:val="22"/>
          <w:szCs w:val="22"/>
        </w:rPr>
        <w:t xml:space="preserve"> reach 20 years’ aggregated RDS and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employment </w:t>
      </w:r>
      <w:r w:rsidRPr="00031284">
        <w:rPr>
          <w:rFonts w:ascii="Arial" w:eastAsia="Calibri" w:hAnsi="Arial" w:cs="Arial"/>
          <w:sz w:val="22"/>
          <w:szCs w:val="22"/>
          <w:u w:val="single"/>
        </w:rPr>
        <w:t>by the time they reach age 55</w:t>
      </w:r>
      <w:r w:rsidRPr="00031284">
        <w:rPr>
          <w:rFonts w:ascii="Arial" w:eastAsia="Calibri" w:hAnsi="Arial" w:cs="Arial"/>
          <w:sz w:val="22"/>
          <w:szCs w:val="22"/>
        </w:rPr>
        <w:t xml:space="preserve">. </w:t>
      </w:r>
    </w:p>
    <w:p w14:paraId="16F127AF"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 xml:space="preserve"> </w:t>
      </w:r>
    </w:p>
    <w:p w14:paraId="3C8C17C0"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t>Further details of the online questionnaire exercise will follow shortly. In the meantime, members who may be affected by this issue are asked to have ready the following information:</w:t>
      </w:r>
    </w:p>
    <w:p w14:paraId="6577FCE9" w14:textId="77777777" w:rsidR="00031284" w:rsidRPr="00031284" w:rsidRDefault="00031284" w:rsidP="00031284">
      <w:pPr>
        <w:spacing w:line="240" w:lineRule="auto"/>
        <w:ind w:left="567"/>
        <w:jc w:val="both"/>
        <w:rPr>
          <w:rFonts w:ascii="Arial" w:eastAsia="Calibri" w:hAnsi="Arial" w:cs="Arial"/>
          <w:sz w:val="22"/>
          <w:szCs w:val="22"/>
        </w:rPr>
      </w:pPr>
    </w:p>
    <w:p w14:paraId="472E6085" w14:textId="77777777" w:rsidR="00031284" w:rsidRPr="00031284" w:rsidRDefault="00031284" w:rsidP="00031284">
      <w:pPr>
        <w:numPr>
          <w:ilvl w:val="0"/>
          <w:numId w:val="13"/>
        </w:numPr>
        <w:spacing w:line="240" w:lineRule="auto"/>
        <w:ind w:left="1134" w:firstLine="0"/>
        <w:jc w:val="both"/>
        <w:rPr>
          <w:rFonts w:ascii="Arial" w:eastAsia="Calibri" w:hAnsi="Arial" w:cs="Arial"/>
          <w:sz w:val="22"/>
          <w:szCs w:val="22"/>
        </w:rPr>
      </w:pPr>
      <w:r w:rsidRPr="00031284">
        <w:rPr>
          <w:rFonts w:ascii="Arial" w:eastAsia="Calibri" w:hAnsi="Arial" w:cs="Arial"/>
          <w:sz w:val="22"/>
          <w:szCs w:val="22"/>
        </w:rPr>
        <w:t>Name of employer:</w:t>
      </w:r>
    </w:p>
    <w:p w14:paraId="59399B0B" w14:textId="77777777" w:rsidR="00031284" w:rsidRPr="00031284" w:rsidRDefault="00031284" w:rsidP="00031284">
      <w:pPr>
        <w:numPr>
          <w:ilvl w:val="0"/>
          <w:numId w:val="13"/>
        </w:numPr>
        <w:spacing w:line="240" w:lineRule="auto"/>
        <w:ind w:left="1134" w:firstLine="0"/>
        <w:jc w:val="both"/>
        <w:rPr>
          <w:rFonts w:ascii="Arial" w:eastAsia="Calibri" w:hAnsi="Arial" w:cs="Arial"/>
          <w:sz w:val="22"/>
          <w:szCs w:val="22"/>
        </w:rPr>
      </w:pPr>
      <w:r w:rsidRPr="00031284">
        <w:rPr>
          <w:rFonts w:ascii="Arial" w:eastAsia="Calibri" w:hAnsi="Arial" w:cs="Arial"/>
          <w:sz w:val="22"/>
          <w:szCs w:val="22"/>
        </w:rPr>
        <w:t>Date of start of RDS service:</w:t>
      </w:r>
    </w:p>
    <w:p w14:paraId="11FDCED7" w14:textId="77777777" w:rsidR="00031284" w:rsidRPr="00031284" w:rsidRDefault="00031284" w:rsidP="00031284">
      <w:pPr>
        <w:numPr>
          <w:ilvl w:val="0"/>
          <w:numId w:val="13"/>
        </w:numPr>
        <w:spacing w:line="240" w:lineRule="auto"/>
        <w:ind w:left="1418" w:hanging="284"/>
        <w:jc w:val="both"/>
        <w:rPr>
          <w:rFonts w:ascii="Arial" w:eastAsia="Calibri" w:hAnsi="Arial" w:cs="Arial"/>
          <w:sz w:val="22"/>
          <w:szCs w:val="22"/>
        </w:rPr>
      </w:pPr>
      <w:r w:rsidRPr="00031284">
        <w:rPr>
          <w:rFonts w:ascii="Arial" w:eastAsia="Calibri" w:hAnsi="Arial" w:cs="Arial"/>
          <w:sz w:val="22"/>
          <w:szCs w:val="22"/>
        </w:rPr>
        <w:t xml:space="preserve">Gross pay as an RDS firefighter per year: </w:t>
      </w:r>
    </w:p>
    <w:p w14:paraId="50F4B96A" w14:textId="77777777" w:rsidR="00031284" w:rsidRPr="00031284" w:rsidRDefault="00031284" w:rsidP="00031284">
      <w:pPr>
        <w:numPr>
          <w:ilvl w:val="0"/>
          <w:numId w:val="13"/>
        </w:numPr>
        <w:spacing w:line="240" w:lineRule="auto"/>
        <w:ind w:left="1418" w:hanging="284"/>
        <w:jc w:val="both"/>
        <w:rPr>
          <w:rFonts w:ascii="Arial" w:eastAsia="Calibri" w:hAnsi="Arial" w:cs="Arial"/>
          <w:sz w:val="22"/>
          <w:szCs w:val="22"/>
        </w:rPr>
      </w:pPr>
      <w:r w:rsidRPr="00031284">
        <w:rPr>
          <w:rFonts w:ascii="Arial" w:eastAsia="Calibri" w:hAnsi="Arial" w:cs="Arial"/>
          <w:sz w:val="22"/>
          <w:szCs w:val="22"/>
        </w:rPr>
        <w:t xml:space="preserve">Date of transfer to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service:</w:t>
      </w:r>
    </w:p>
    <w:p w14:paraId="5779F0E5" w14:textId="77777777" w:rsidR="00031284" w:rsidRPr="00031284" w:rsidRDefault="00031284" w:rsidP="00031284">
      <w:pPr>
        <w:numPr>
          <w:ilvl w:val="0"/>
          <w:numId w:val="13"/>
        </w:numPr>
        <w:spacing w:line="240" w:lineRule="auto"/>
        <w:ind w:left="1418" w:hanging="284"/>
        <w:jc w:val="both"/>
        <w:rPr>
          <w:rFonts w:ascii="Arial" w:eastAsia="Calibri" w:hAnsi="Arial" w:cs="Arial"/>
          <w:sz w:val="22"/>
          <w:szCs w:val="22"/>
        </w:rPr>
      </w:pPr>
      <w:r w:rsidRPr="00031284">
        <w:rPr>
          <w:rFonts w:ascii="Arial" w:eastAsia="Calibri" w:hAnsi="Arial" w:cs="Arial"/>
          <w:sz w:val="22"/>
          <w:szCs w:val="22"/>
        </w:rPr>
        <w:t>Whether the member took up membership of the NFPS for RDS service under the first options exercise.</w:t>
      </w:r>
    </w:p>
    <w:p w14:paraId="7C1B75C7" w14:textId="77777777" w:rsidR="00031284" w:rsidRDefault="00031284" w:rsidP="00031284">
      <w:pPr>
        <w:spacing w:line="240" w:lineRule="auto"/>
        <w:ind w:left="2127" w:hanging="567"/>
        <w:jc w:val="both"/>
        <w:rPr>
          <w:rFonts w:ascii="Arial" w:eastAsia="Calibri" w:hAnsi="Arial" w:cs="Arial"/>
          <w:sz w:val="22"/>
          <w:szCs w:val="22"/>
        </w:rPr>
      </w:pPr>
    </w:p>
    <w:p w14:paraId="60B41B10" w14:textId="77777777" w:rsidR="00031284" w:rsidRDefault="00031284" w:rsidP="00031284">
      <w:pPr>
        <w:spacing w:line="240" w:lineRule="auto"/>
        <w:ind w:left="2127" w:hanging="567"/>
        <w:jc w:val="both"/>
        <w:rPr>
          <w:rFonts w:ascii="Arial" w:eastAsia="Calibri" w:hAnsi="Arial" w:cs="Arial"/>
          <w:sz w:val="22"/>
          <w:szCs w:val="22"/>
        </w:rPr>
      </w:pPr>
    </w:p>
    <w:p w14:paraId="787F2C52" w14:textId="77777777" w:rsidR="00031284" w:rsidRDefault="00031284" w:rsidP="00031284">
      <w:pPr>
        <w:spacing w:line="240" w:lineRule="auto"/>
        <w:ind w:left="2127" w:hanging="567"/>
        <w:jc w:val="both"/>
        <w:rPr>
          <w:rFonts w:ascii="Arial" w:eastAsia="Calibri" w:hAnsi="Arial" w:cs="Arial"/>
          <w:sz w:val="22"/>
          <w:szCs w:val="22"/>
        </w:rPr>
      </w:pPr>
    </w:p>
    <w:p w14:paraId="41D43B21" w14:textId="77777777" w:rsidR="00031284" w:rsidRDefault="00031284" w:rsidP="00031284">
      <w:pPr>
        <w:spacing w:line="240" w:lineRule="auto"/>
        <w:ind w:left="2127" w:hanging="567"/>
        <w:jc w:val="both"/>
        <w:rPr>
          <w:rFonts w:ascii="Arial" w:eastAsia="Calibri" w:hAnsi="Arial" w:cs="Arial"/>
          <w:sz w:val="22"/>
          <w:szCs w:val="22"/>
        </w:rPr>
      </w:pPr>
    </w:p>
    <w:p w14:paraId="05ED25DA" w14:textId="77777777" w:rsidR="00031284" w:rsidRDefault="00031284" w:rsidP="00031284">
      <w:pPr>
        <w:spacing w:line="240" w:lineRule="auto"/>
        <w:ind w:left="2127" w:hanging="567"/>
        <w:jc w:val="both"/>
        <w:rPr>
          <w:rFonts w:ascii="Arial" w:eastAsia="Calibri" w:hAnsi="Arial" w:cs="Arial"/>
          <w:sz w:val="22"/>
          <w:szCs w:val="22"/>
        </w:rPr>
      </w:pPr>
    </w:p>
    <w:p w14:paraId="75D1CCE5" w14:textId="1B09490B" w:rsidR="00031284" w:rsidRPr="00031284" w:rsidRDefault="00031284" w:rsidP="00031284">
      <w:pPr>
        <w:spacing w:line="240" w:lineRule="auto"/>
        <w:ind w:left="2127" w:hanging="567"/>
        <w:jc w:val="right"/>
        <w:rPr>
          <w:rFonts w:ascii="Arial" w:eastAsia="Calibri" w:hAnsi="Arial" w:cs="Arial"/>
          <w:sz w:val="22"/>
          <w:szCs w:val="22"/>
        </w:rPr>
      </w:pPr>
      <w:r>
        <w:rPr>
          <w:rFonts w:ascii="Arial" w:eastAsia="Calibri" w:hAnsi="Arial" w:cs="Arial"/>
          <w:sz w:val="22"/>
          <w:szCs w:val="22"/>
        </w:rPr>
        <w:t>2.</w:t>
      </w:r>
    </w:p>
    <w:p w14:paraId="44824569" w14:textId="77777777" w:rsidR="00031284" w:rsidRPr="00031284" w:rsidRDefault="00031284" w:rsidP="00031284">
      <w:pPr>
        <w:spacing w:line="240" w:lineRule="auto"/>
        <w:ind w:left="567"/>
        <w:jc w:val="both"/>
        <w:rPr>
          <w:rFonts w:ascii="Arial" w:eastAsia="Calibri" w:hAnsi="Arial" w:cs="Arial"/>
          <w:sz w:val="22"/>
          <w:szCs w:val="22"/>
        </w:rPr>
      </w:pPr>
      <w:r w:rsidRPr="00031284">
        <w:rPr>
          <w:rFonts w:ascii="Arial" w:eastAsia="Calibri" w:hAnsi="Arial" w:cs="Arial"/>
          <w:sz w:val="22"/>
          <w:szCs w:val="22"/>
        </w:rPr>
        <w:lastRenderedPageBreak/>
        <w:t xml:space="preserve">Members in either category will also be asked to have available, so far as possible, their pension statements and pay slips covering their </w:t>
      </w:r>
      <w:proofErr w:type="spellStart"/>
      <w:r w:rsidRPr="00031284">
        <w:rPr>
          <w:rFonts w:ascii="Arial" w:eastAsia="Calibri" w:hAnsi="Arial" w:cs="Arial"/>
          <w:sz w:val="22"/>
          <w:szCs w:val="22"/>
        </w:rPr>
        <w:t>wholetime</w:t>
      </w:r>
      <w:proofErr w:type="spellEnd"/>
      <w:r w:rsidRPr="00031284">
        <w:rPr>
          <w:rFonts w:ascii="Arial" w:eastAsia="Calibri" w:hAnsi="Arial" w:cs="Arial"/>
          <w:sz w:val="22"/>
          <w:szCs w:val="22"/>
        </w:rPr>
        <w:t xml:space="preserve"> and RDS employment. If members took part in the first options exercise, they will be asked to have available the pensions statement they will have received at the time from their FRS setting out the benefits to which they would be entitled. Please </w:t>
      </w:r>
      <w:r w:rsidRPr="00031284">
        <w:rPr>
          <w:rFonts w:ascii="Arial" w:eastAsia="Calibri" w:hAnsi="Arial" w:cs="Arial"/>
          <w:sz w:val="22"/>
          <w:szCs w:val="22"/>
          <w:u w:val="single"/>
        </w:rPr>
        <w:t>do not</w:t>
      </w:r>
      <w:r w:rsidRPr="00031284">
        <w:rPr>
          <w:rFonts w:ascii="Arial" w:eastAsia="Calibri" w:hAnsi="Arial" w:cs="Arial"/>
          <w:sz w:val="22"/>
          <w:szCs w:val="22"/>
        </w:rPr>
        <w:t xml:space="preserve"> send these documents to us at this stage. We will ask you for them when they are needed.</w:t>
      </w:r>
    </w:p>
    <w:p w14:paraId="54AD9932" w14:textId="77777777" w:rsidR="00031284" w:rsidRPr="00031284" w:rsidRDefault="00031284" w:rsidP="00031284">
      <w:pPr>
        <w:spacing w:line="240" w:lineRule="auto"/>
        <w:ind w:left="567"/>
        <w:jc w:val="both"/>
        <w:rPr>
          <w:rFonts w:ascii="Arial" w:eastAsia="Calibri" w:hAnsi="Arial" w:cs="Arial"/>
          <w:sz w:val="22"/>
          <w:szCs w:val="22"/>
        </w:rPr>
      </w:pPr>
    </w:p>
    <w:p w14:paraId="11A0B6A8" w14:textId="77777777" w:rsidR="00031284" w:rsidRPr="00812C42" w:rsidRDefault="00031284" w:rsidP="00031284">
      <w:pPr>
        <w:pStyle w:val="NoSpacing"/>
        <w:ind w:left="567"/>
        <w:jc w:val="both"/>
        <w:rPr>
          <w:rFonts w:ascii="Arial" w:hAnsi="Arial" w:cs="Arial"/>
          <w:sz w:val="22"/>
          <w:szCs w:val="22"/>
        </w:rPr>
      </w:pPr>
      <w:r w:rsidRPr="00812C42">
        <w:rPr>
          <w:rFonts w:ascii="Arial" w:hAnsi="Arial" w:cs="Arial"/>
          <w:sz w:val="22"/>
          <w:szCs w:val="22"/>
        </w:rPr>
        <w:t>Yours in unity,</w:t>
      </w:r>
    </w:p>
    <w:p w14:paraId="5D8C01BA" w14:textId="77777777" w:rsidR="00031284" w:rsidRPr="00AC605B" w:rsidRDefault="00031284" w:rsidP="00031284">
      <w:pPr>
        <w:pStyle w:val="NoSpacing"/>
        <w:ind w:left="567"/>
        <w:jc w:val="both"/>
        <w:rPr>
          <w:rFonts w:ascii="Arial" w:hAnsi="Arial" w:cs="Arial"/>
          <w:sz w:val="22"/>
          <w:szCs w:val="22"/>
        </w:rPr>
      </w:pPr>
    </w:p>
    <w:p w14:paraId="5F2B2D56" w14:textId="77777777" w:rsidR="00031284" w:rsidRPr="00AC605B" w:rsidRDefault="00031284" w:rsidP="00031284">
      <w:pPr>
        <w:pStyle w:val="NoSpacing"/>
        <w:ind w:left="567"/>
        <w:jc w:val="both"/>
        <w:rPr>
          <w:rFonts w:ascii="Arial" w:hAnsi="Arial" w:cs="Arial"/>
          <w:sz w:val="22"/>
          <w:szCs w:val="22"/>
        </w:rPr>
      </w:pPr>
      <w:r w:rsidRPr="00AC605B">
        <w:rPr>
          <w:rFonts w:ascii="Arial" w:hAnsi="Arial" w:cs="Arial"/>
          <w:noProof/>
          <w:sz w:val="22"/>
          <w:szCs w:val="22"/>
          <w:lang w:eastAsia="en-GB"/>
        </w:rPr>
        <w:drawing>
          <wp:inline distT="0" distB="0" distL="0" distR="0" wp14:anchorId="1304D842" wp14:editId="3BE911A0">
            <wp:extent cx="1668780" cy="619125"/>
            <wp:effectExtent l="0" t="0" r="762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a:fillRect/>
                    </a:stretch>
                  </pic:blipFill>
                  <pic:spPr bwMode="auto">
                    <a:xfrm>
                      <a:off x="0" y="0"/>
                      <a:ext cx="1668780" cy="619125"/>
                    </a:xfrm>
                    <a:prstGeom prst="rect">
                      <a:avLst/>
                    </a:prstGeom>
                    <a:noFill/>
                    <a:ln w="9525">
                      <a:noFill/>
                      <a:miter lim="800000"/>
                      <a:headEnd/>
                      <a:tailEnd/>
                    </a:ln>
                  </pic:spPr>
                </pic:pic>
              </a:graphicData>
            </a:graphic>
          </wp:inline>
        </w:drawing>
      </w:r>
    </w:p>
    <w:p w14:paraId="1677243F" w14:textId="77777777" w:rsidR="00031284" w:rsidRPr="00AC605B" w:rsidRDefault="00031284" w:rsidP="00031284">
      <w:pPr>
        <w:pStyle w:val="NoSpacing"/>
        <w:ind w:left="567"/>
        <w:jc w:val="both"/>
        <w:rPr>
          <w:rFonts w:ascii="Arial" w:hAnsi="Arial" w:cs="Arial"/>
          <w:b/>
          <w:sz w:val="22"/>
          <w:szCs w:val="22"/>
        </w:rPr>
      </w:pPr>
      <w:r w:rsidRPr="00AC605B">
        <w:rPr>
          <w:rFonts w:ascii="Arial" w:hAnsi="Arial" w:cs="Arial"/>
          <w:b/>
          <w:sz w:val="22"/>
          <w:szCs w:val="22"/>
        </w:rPr>
        <w:t>Mark Rowe</w:t>
      </w:r>
    </w:p>
    <w:p w14:paraId="73B63CDB" w14:textId="77777777" w:rsidR="00031284" w:rsidRPr="00AC605B" w:rsidRDefault="00031284" w:rsidP="00031284">
      <w:pPr>
        <w:pStyle w:val="NoSpacing"/>
        <w:ind w:left="567"/>
        <w:jc w:val="both"/>
        <w:rPr>
          <w:rFonts w:ascii="Arial" w:hAnsi="Arial" w:cs="Arial"/>
          <w:b/>
          <w:sz w:val="22"/>
          <w:szCs w:val="22"/>
        </w:rPr>
      </w:pPr>
      <w:r w:rsidRPr="00AC605B">
        <w:rPr>
          <w:rFonts w:ascii="Arial" w:hAnsi="Arial" w:cs="Arial"/>
          <w:b/>
          <w:sz w:val="22"/>
          <w:szCs w:val="22"/>
        </w:rPr>
        <w:t>National Officer</w:t>
      </w:r>
    </w:p>
    <w:p w14:paraId="314991B3" w14:textId="77777777" w:rsidR="00031284" w:rsidRPr="00AC605B" w:rsidRDefault="00031284" w:rsidP="00031284">
      <w:pPr>
        <w:pStyle w:val="NoSpacing"/>
        <w:jc w:val="both"/>
        <w:rPr>
          <w:rFonts w:ascii="Arial" w:hAnsi="Arial" w:cs="Arial"/>
          <w:bCs/>
          <w:iCs/>
          <w:sz w:val="22"/>
          <w:szCs w:val="22"/>
        </w:rPr>
      </w:pPr>
    </w:p>
    <w:p w14:paraId="6E67487B" w14:textId="77777777" w:rsidR="00031284" w:rsidRDefault="00031284" w:rsidP="00031284">
      <w:pPr>
        <w:pStyle w:val="NoSpacing"/>
        <w:jc w:val="both"/>
        <w:rPr>
          <w:rFonts w:ascii="Arial" w:hAnsi="Arial" w:cs="Arial"/>
          <w:bCs/>
          <w:iCs/>
          <w:sz w:val="22"/>
          <w:szCs w:val="22"/>
        </w:rPr>
      </w:pPr>
    </w:p>
    <w:p w14:paraId="0B548954" w14:textId="77777777" w:rsidR="00031284" w:rsidRDefault="00031284" w:rsidP="00031284">
      <w:pPr>
        <w:pStyle w:val="NoSpacing"/>
        <w:jc w:val="both"/>
        <w:rPr>
          <w:rFonts w:ascii="Arial" w:hAnsi="Arial" w:cs="Arial"/>
          <w:bCs/>
          <w:iCs/>
          <w:sz w:val="22"/>
          <w:szCs w:val="22"/>
        </w:rPr>
      </w:pPr>
    </w:p>
    <w:p w14:paraId="45250BB2" w14:textId="77777777" w:rsidR="00031284" w:rsidRDefault="00031284" w:rsidP="00031284">
      <w:pPr>
        <w:pStyle w:val="NoSpacing"/>
        <w:jc w:val="both"/>
        <w:rPr>
          <w:rFonts w:ascii="Arial" w:hAnsi="Arial" w:cs="Arial"/>
          <w:bCs/>
          <w:iCs/>
          <w:sz w:val="22"/>
          <w:szCs w:val="22"/>
        </w:rPr>
      </w:pPr>
    </w:p>
    <w:p w14:paraId="393E7DA3" w14:textId="77777777" w:rsidR="00031284" w:rsidRDefault="00031284" w:rsidP="00031284">
      <w:pPr>
        <w:pStyle w:val="NoSpacing"/>
        <w:jc w:val="both"/>
        <w:rPr>
          <w:rFonts w:ascii="Arial" w:hAnsi="Arial" w:cs="Arial"/>
          <w:bCs/>
          <w:iCs/>
          <w:sz w:val="22"/>
          <w:szCs w:val="22"/>
        </w:rPr>
      </w:pPr>
    </w:p>
    <w:p w14:paraId="2D66A51E" w14:textId="77777777" w:rsidR="00031284" w:rsidRDefault="00031284" w:rsidP="00031284">
      <w:pPr>
        <w:pStyle w:val="NoSpacing"/>
        <w:jc w:val="both"/>
        <w:rPr>
          <w:rFonts w:ascii="Arial" w:hAnsi="Arial" w:cs="Arial"/>
          <w:bCs/>
          <w:iCs/>
          <w:sz w:val="22"/>
          <w:szCs w:val="22"/>
        </w:rPr>
      </w:pPr>
    </w:p>
    <w:p w14:paraId="55D92DA3" w14:textId="77777777" w:rsidR="00031284" w:rsidRDefault="00031284" w:rsidP="00031284">
      <w:pPr>
        <w:pStyle w:val="NoSpacing"/>
        <w:jc w:val="both"/>
        <w:rPr>
          <w:rFonts w:ascii="Arial" w:hAnsi="Arial" w:cs="Arial"/>
          <w:bCs/>
          <w:iCs/>
          <w:sz w:val="22"/>
          <w:szCs w:val="22"/>
        </w:rPr>
      </w:pPr>
    </w:p>
    <w:p w14:paraId="07B8B9D5" w14:textId="77777777" w:rsidR="00031284" w:rsidRDefault="00031284" w:rsidP="00031284">
      <w:pPr>
        <w:pStyle w:val="NoSpacing"/>
        <w:ind w:left="567"/>
        <w:jc w:val="both"/>
        <w:rPr>
          <w:rFonts w:ascii="Arial" w:hAnsi="Arial" w:cs="Arial"/>
          <w:bCs/>
          <w:iCs/>
          <w:sz w:val="22"/>
          <w:szCs w:val="22"/>
        </w:rPr>
      </w:pPr>
    </w:p>
    <w:p w14:paraId="54BDDE45" w14:textId="77777777" w:rsidR="00031284" w:rsidRDefault="00031284" w:rsidP="00031284">
      <w:pPr>
        <w:pStyle w:val="NoSpacing"/>
        <w:ind w:left="567"/>
        <w:jc w:val="both"/>
        <w:rPr>
          <w:rFonts w:ascii="Arial" w:hAnsi="Arial" w:cs="Arial"/>
          <w:bCs/>
          <w:iCs/>
          <w:sz w:val="22"/>
          <w:szCs w:val="22"/>
        </w:rPr>
      </w:pPr>
      <w:r w:rsidRPr="00AC605B">
        <w:rPr>
          <w:rFonts w:ascii="Arial" w:hAnsi="Arial" w:cs="Arial"/>
          <w:bCs/>
          <w:iCs/>
          <w:sz w:val="22"/>
          <w:szCs w:val="22"/>
        </w:rPr>
        <w:t>MR/</w:t>
      </w:r>
      <w:proofErr w:type="spellStart"/>
      <w:r w:rsidRPr="00AC605B">
        <w:rPr>
          <w:rFonts w:ascii="Arial" w:hAnsi="Arial" w:cs="Arial"/>
          <w:bCs/>
          <w:iCs/>
          <w:sz w:val="22"/>
          <w:szCs w:val="22"/>
        </w:rPr>
        <w:t>jr</w:t>
      </w:r>
      <w:proofErr w:type="spellEnd"/>
    </w:p>
    <w:p w14:paraId="1B2B0E8E" w14:textId="77777777" w:rsidR="00031284" w:rsidRDefault="00031284" w:rsidP="00031284">
      <w:pPr>
        <w:pStyle w:val="NoSpacing"/>
        <w:ind w:left="567"/>
        <w:jc w:val="both"/>
        <w:rPr>
          <w:rFonts w:ascii="Arial" w:hAnsi="Arial" w:cs="Arial"/>
          <w:bCs/>
          <w:iCs/>
          <w:sz w:val="22"/>
          <w:szCs w:val="22"/>
        </w:rPr>
      </w:pPr>
    </w:p>
    <w:p w14:paraId="5DDA309B" w14:textId="77777777" w:rsidR="00031284" w:rsidRDefault="00031284" w:rsidP="00031284">
      <w:pPr>
        <w:pStyle w:val="NoSpacing"/>
        <w:ind w:left="567"/>
        <w:jc w:val="both"/>
        <w:rPr>
          <w:rFonts w:ascii="Arial" w:hAnsi="Arial" w:cs="Arial"/>
          <w:bCs/>
          <w:iCs/>
          <w:sz w:val="22"/>
          <w:szCs w:val="22"/>
        </w:rPr>
      </w:pPr>
    </w:p>
    <w:p w14:paraId="16878E0A" w14:textId="77777777" w:rsidR="00031284" w:rsidRDefault="00031284" w:rsidP="00031284">
      <w:pPr>
        <w:pStyle w:val="NoSpacing"/>
        <w:ind w:left="567"/>
        <w:jc w:val="both"/>
        <w:rPr>
          <w:rFonts w:ascii="Arial" w:hAnsi="Arial" w:cs="Arial"/>
          <w:bCs/>
          <w:iCs/>
          <w:sz w:val="22"/>
          <w:szCs w:val="22"/>
        </w:rPr>
      </w:pPr>
    </w:p>
    <w:p w14:paraId="6960E667" w14:textId="77777777" w:rsidR="00031284" w:rsidRDefault="00031284" w:rsidP="00031284">
      <w:pPr>
        <w:pStyle w:val="NoSpacing"/>
        <w:ind w:left="567"/>
        <w:jc w:val="both"/>
        <w:rPr>
          <w:rFonts w:ascii="Arial" w:hAnsi="Arial" w:cs="Arial"/>
          <w:bCs/>
          <w:iCs/>
          <w:sz w:val="22"/>
          <w:szCs w:val="22"/>
        </w:rPr>
      </w:pPr>
    </w:p>
    <w:p w14:paraId="4573F647" w14:textId="77777777" w:rsidR="00031284" w:rsidRDefault="00031284" w:rsidP="00031284">
      <w:pPr>
        <w:pStyle w:val="NoSpacing"/>
        <w:ind w:left="567"/>
        <w:jc w:val="both"/>
        <w:rPr>
          <w:rFonts w:ascii="Arial" w:hAnsi="Arial" w:cs="Arial"/>
          <w:bCs/>
          <w:iCs/>
          <w:sz w:val="22"/>
          <w:szCs w:val="22"/>
        </w:rPr>
      </w:pPr>
    </w:p>
    <w:p w14:paraId="0CBBDB1C" w14:textId="77777777" w:rsidR="00031284" w:rsidRDefault="00031284" w:rsidP="00031284">
      <w:pPr>
        <w:pStyle w:val="NoSpacing"/>
        <w:ind w:left="567"/>
        <w:jc w:val="both"/>
        <w:rPr>
          <w:rFonts w:ascii="Arial" w:hAnsi="Arial" w:cs="Arial"/>
          <w:bCs/>
          <w:iCs/>
          <w:sz w:val="22"/>
          <w:szCs w:val="22"/>
        </w:rPr>
      </w:pPr>
    </w:p>
    <w:p w14:paraId="1DD1886E" w14:textId="77777777" w:rsidR="00031284" w:rsidRDefault="00031284" w:rsidP="00031284">
      <w:pPr>
        <w:pStyle w:val="NoSpacing"/>
        <w:ind w:left="567"/>
        <w:jc w:val="both"/>
        <w:rPr>
          <w:rFonts w:ascii="Arial" w:hAnsi="Arial" w:cs="Arial"/>
          <w:bCs/>
          <w:iCs/>
          <w:sz w:val="22"/>
          <w:szCs w:val="22"/>
        </w:rPr>
      </w:pPr>
    </w:p>
    <w:p w14:paraId="0A6BB3D7" w14:textId="77777777" w:rsidR="00031284" w:rsidRDefault="00031284" w:rsidP="00031284">
      <w:pPr>
        <w:pStyle w:val="NoSpacing"/>
        <w:ind w:left="567"/>
        <w:jc w:val="both"/>
        <w:rPr>
          <w:rFonts w:ascii="Arial" w:hAnsi="Arial" w:cs="Arial"/>
          <w:bCs/>
          <w:iCs/>
          <w:sz w:val="22"/>
          <w:szCs w:val="22"/>
        </w:rPr>
      </w:pPr>
    </w:p>
    <w:p w14:paraId="60DEE458" w14:textId="77777777" w:rsidR="00031284" w:rsidRDefault="00031284" w:rsidP="00031284">
      <w:pPr>
        <w:pStyle w:val="NoSpacing"/>
        <w:ind w:left="567"/>
        <w:jc w:val="both"/>
        <w:rPr>
          <w:rFonts w:ascii="Arial" w:hAnsi="Arial" w:cs="Arial"/>
          <w:bCs/>
          <w:iCs/>
          <w:sz w:val="22"/>
          <w:szCs w:val="22"/>
        </w:rPr>
      </w:pPr>
    </w:p>
    <w:p w14:paraId="61EAE85F" w14:textId="77777777" w:rsidR="00031284" w:rsidRDefault="00031284" w:rsidP="00031284">
      <w:pPr>
        <w:pStyle w:val="NoSpacing"/>
        <w:ind w:left="567"/>
        <w:jc w:val="both"/>
        <w:rPr>
          <w:rFonts w:ascii="Arial" w:hAnsi="Arial" w:cs="Arial"/>
          <w:bCs/>
          <w:iCs/>
          <w:sz w:val="22"/>
          <w:szCs w:val="22"/>
        </w:rPr>
      </w:pPr>
    </w:p>
    <w:p w14:paraId="0BE16DA4" w14:textId="77777777" w:rsidR="00031284" w:rsidRDefault="00031284" w:rsidP="00031284">
      <w:pPr>
        <w:pStyle w:val="NoSpacing"/>
        <w:ind w:left="567"/>
        <w:jc w:val="both"/>
        <w:rPr>
          <w:rFonts w:ascii="Arial" w:hAnsi="Arial" w:cs="Arial"/>
          <w:bCs/>
          <w:iCs/>
          <w:sz w:val="22"/>
          <w:szCs w:val="22"/>
        </w:rPr>
      </w:pPr>
    </w:p>
    <w:p w14:paraId="6237D9FC" w14:textId="77777777" w:rsidR="00031284" w:rsidRDefault="00031284" w:rsidP="00031284">
      <w:pPr>
        <w:pStyle w:val="NoSpacing"/>
        <w:ind w:left="567"/>
        <w:jc w:val="both"/>
        <w:rPr>
          <w:rFonts w:ascii="Arial" w:hAnsi="Arial" w:cs="Arial"/>
          <w:bCs/>
          <w:iCs/>
          <w:sz w:val="22"/>
          <w:szCs w:val="22"/>
        </w:rPr>
      </w:pPr>
    </w:p>
    <w:p w14:paraId="13B2753C" w14:textId="77777777" w:rsidR="00031284" w:rsidRDefault="00031284" w:rsidP="00031284">
      <w:pPr>
        <w:pStyle w:val="NoSpacing"/>
        <w:ind w:left="567"/>
        <w:jc w:val="both"/>
        <w:rPr>
          <w:rFonts w:ascii="Arial" w:hAnsi="Arial" w:cs="Arial"/>
          <w:bCs/>
          <w:iCs/>
          <w:sz w:val="22"/>
          <w:szCs w:val="22"/>
        </w:rPr>
      </w:pPr>
    </w:p>
    <w:p w14:paraId="40484CB9" w14:textId="77777777" w:rsidR="00031284" w:rsidRDefault="00031284" w:rsidP="00031284">
      <w:pPr>
        <w:pStyle w:val="NoSpacing"/>
        <w:ind w:left="567"/>
        <w:jc w:val="both"/>
        <w:rPr>
          <w:rFonts w:ascii="Arial" w:hAnsi="Arial" w:cs="Arial"/>
          <w:bCs/>
          <w:iCs/>
          <w:sz w:val="22"/>
          <w:szCs w:val="22"/>
        </w:rPr>
      </w:pPr>
    </w:p>
    <w:p w14:paraId="30B42B73" w14:textId="77777777" w:rsidR="00031284" w:rsidRDefault="00031284" w:rsidP="00031284">
      <w:pPr>
        <w:pStyle w:val="NoSpacing"/>
        <w:ind w:left="567"/>
        <w:jc w:val="both"/>
        <w:rPr>
          <w:rFonts w:ascii="Arial" w:hAnsi="Arial" w:cs="Arial"/>
          <w:bCs/>
          <w:iCs/>
          <w:sz w:val="22"/>
          <w:szCs w:val="22"/>
        </w:rPr>
      </w:pPr>
    </w:p>
    <w:p w14:paraId="0AF3B73E" w14:textId="77777777" w:rsidR="00031284" w:rsidRDefault="00031284" w:rsidP="00031284">
      <w:pPr>
        <w:pStyle w:val="NoSpacing"/>
        <w:ind w:left="567"/>
        <w:jc w:val="both"/>
        <w:rPr>
          <w:rFonts w:ascii="Arial" w:hAnsi="Arial" w:cs="Arial"/>
          <w:bCs/>
          <w:iCs/>
          <w:sz w:val="22"/>
          <w:szCs w:val="22"/>
        </w:rPr>
      </w:pPr>
    </w:p>
    <w:p w14:paraId="42C97E8B" w14:textId="77777777" w:rsidR="00031284" w:rsidRDefault="00031284" w:rsidP="00031284">
      <w:pPr>
        <w:pStyle w:val="NoSpacing"/>
        <w:ind w:left="567"/>
        <w:jc w:val="both"/>
        <w:rPr>
          <w:rFonts w:ascii="Arial" w:hAnsi="Arial" w:cs="Arial"/>
          <w:bCs/>
          <w:iCs/>
          <w:sz w:val="22"/>
          <w:szCs w:val="22"/>
        </w:rPr>
      </w:pPr>
    </w:p>
    <w:p w14:paraId="47087D1A" w14:textId="77777777" w:rsidR="00031284" w:rsidRDefault="00031284" w:rsidP="00031284">
      <w:pPr>
        <w:pStyle w:val="NoSpacing"/>
        <w:ind w:left="567"/>
        <w:jc w:val="both"/>
        <w:rPr>
          <w:rFonts w:ascii="Arial" w:hAnsi="Arial" w:cs="Arial"/>
          <w:bCs/>
          <w:iCs/>
          <w:sz w:val="22"/>
          <w:szCs w:val="22"/>
        </w:rPr>
      </w:pPr>
    </w:p>
    <w:p w14:paraId="2BB429C9" w14:textId="77777777" w:rsidR="00031284" w:rsidRDefault="00031284" w:rsidP="00031284">
      <w:pPr>
        <w:pStyle w:val="NoSpacing"/>
        <w:ind w:left="567"/>
        <w:jc w:val="both"/>
        <w:rPr>
          <w:rFonts w:ascii="Arial" w:hAnsi="Arial" w:cs="Arial"/>
          <w:bCs/>
          <w:iCs/>
          <w:sz w:val="22"/>
          <w:szCs w:val="22"/>
        </w:rPr>
      </w:pPr>
    </w:p>
    <w:p w14:paraId="39B3C79B" w14:textId="77777777" w:rsidR="00031284" w:rsidRDefault="00031284" w:rsidP="00031284">
      <w:pPr>
        <w:pStyle w:val="NoSpacing"/>
        <w:ind w:left="567"/>
        <w:jc w:val="both"/>
        <w:rPr>
          <w:rFonts w:ascii="Arial" w:hAnsi="Arial" w:cs="Arial"/>
          <w:bCs/>
          <w:iCs/>
          <w:sz w:val="22"/>
          <w:szCs w:val="22"/>
        </w:rPr>
      </w:pPr>
    </w:p>
    <w:p w14:paraId="40FD5901" w14:textId="77777777" w:rsidR="00031284" w:rsidRDefault="00031284" w:rsidP="00031284">
      <w:pPr>
        <w:pStyle w:val="NoSpacing"/>
        <w:ind w:left="567"/>
        <w:jc w:val="both"/>
        <w:rPr>
          <w:rFonts w:ascii="Arial" w:hAnsi="Arial" w:cs="Arial"/>
          <w:bCs/>
          <w:iCs/>
          <w:sz w:val="22"/>
          <w:szCs w:val="22"/>
        </w:rPr>
      </w:pPr>
    </w:p>
    <w:p w14:paraId="524C5115" w14:textId="77777777" w:rsidR="00031284" w:rsidRDefault="00031284" w:rsidP="00031284">
      <w:pPr>
        <w:pStyle w:val="NoSpacing"/>
        <w:ind w:left="567"/>
        <w:jc w:val="both"/>
        <w:rPr>
          <w:rFonts w:ascii="Arial" w:hAnsi="Arial" w:cs="Arial"/>
          <w:bCs/>
          <w:iCs/>
          <w:sz w:val="22"/>
          <w:szCs w:val="22"/>
        </w:rPr>
      </w:pPr>
    </w:p>
    <w:p w14:paraId="54CF64AD" w14:textId="77777777" w:rsidR="00031284" w:rsidRDefault="00031284" w:rsidP="00031284">
      <w:pPr>
        <w:pStyle w:val="NoSpacing"/>
        <w:ind w:left="567"/>
        <w:jc w:val="both"/>
        <w:rPr>
          <w:rFonts w:ascii="Arial" w:hAnsi="Arial" w:cs="Arial"/>
          <w:bCs/>
          <w:iCs/>
          <w:sz w:val="22"/>
          <w:szCs w:val="22"/>
        </w:rPr>
      </w:pPr>
    </w:p>
    <w:p w14:paraId="335616B7" w14:textId="77777777" w:rsidR="00031284" w:rsidRDefault="00031284" w:rsidP="00031284">
      <w:pPr>
        <w:pStyle w:val="NoSpacing"/>
        <w:ind w:left="567"/>
        <w:jc w:val="both"/>
        <w:rPr>
          <w:rFonts w:ascii="Arial" w:hAnsi="Arial" w:cs="Arial"/>
          <w:bCs/>
          <w:iCs/>
          <w:sz w:val="22"/>
          <w:szCs w:val="22"/>
        </w:rPr>
      </w:pPr>
    </w:p>
    <w:p w14:paraId="08B24A78" w14:textId="77777777" w:rsidR="00031284" w:rsidRDefault="00031284" w:rsidP="00031284">
      <w:pPr>
        <w:pStyle w:val="NoSpacing"/>
        <w:ind w:left="567"/>
        <w:jc w:val="both"/>
        <w:rPr>
          <w:rFonts w:ascii="Arial" w:hAnsi="Arial" w:cs="Arial"/>
          <w:bCs/>
          <w:iCs/>
          <w:sz w:val="22"/>
          <w:szCs w:val="22"/>
        </w:rPr>
      </w:pPr>
    </w:p>
    <w:p w14:paraId="3ADF84DB" w14:textId="77777777" w:rsidR="00031284" w:rsidRDefault="00031284" w:rsidP="00031284">
      <w:pPr>
        <w:pStyle w:val="NoSpacing"/>
        <w:ind w:left="567"/>
        <w:jc w:val="both"/>
        <w:rPr>
          <w:rFonts w:ascii="Arial" w:hAnsi="Arial" w:cs="Arial"/>
          <w:bCs/>
          <w:iCs/>
          <w:sz w:val="22"/>
          <w:szCs w:val="22"/>
        </w:rPr>
      </w:pPr>
    </w:p>
    <w:p w14:paraId="2BF8A64B" w14:textId="77777777" w:rsidR="00031284" w:rsidRDefault="00031284" w:rsidP="00031284">
      <w:pPr>
        <w:pStyle w:val="NoSpacing"/>
        <w:ind w:left="567"/>
        <w:jc w:val="both"/>
        <w:rPr>
          <w:rFonts w:ascii="Arial" w:hAnsi="Arial" w:cs="Arial"/>
          <w:bCs/>
          <w:iCs/>
          <w:sz w:val="22"/>
          <w:szCs w:val="22"/>
        </w:rPr>
      </w:pPr>
    </w:p>
    <w:p w14:paraId="7D1051D3" w14:textId="77777777" w:rsidR="00031284" w:rsidRDefault="00031284" w:rsidP="00031284">
      <w:pPr>
        <w:pStyle w:val="NoSpacing"/>
        <w:ind w:left="567"/>
        <w:jc w:val="both"/>
        <w:rPr>
          <w:rFonts w:ascii="Arial" w:hAnsi="Arial" w:cs="Arial"/>
          <w:bCs/>
          <w:iCs/>
          <w:sz w:val="22"/>
          <w:szCs w:val="22"/>
        </w:rPr>
      </w:pPr>
    </w:p>
    <w:p w14:paraId="76200FE6" w14:textId="77777777" w:rsidR="00031284" w:rsidRDefault="00031284" w:rsidP="00031284">
      <w:pPr>
        <w:pStyle w:val="NoSpacing"/>
        <w:ind w:left="567"/>
        <w:jc w:val="both"/>
        <w:rPr>
          <w:rFonts w:ascii="Arial" w:hAnsi="Arial" w:cs="Arial"/>
          <w:bCs/>
          <w:iCs/>
          <w:sz w:val="22"/>
          <w:szCs w:val="22"/>
        </w:rPr>
      </w:pPr>
    </w:p>
    <w:p w14:paraId="470EDB52" w14:textId="77777777" w:rsidR="00031284" w:rsidRDefault="00031284" w:rsidP="00031284">
      <w:pPr>
        <w:pStyle w:val="NoSpacing"/>
        <w:ind w:left="567"/>
        <w:jc w:val="both"/>
        <w:rPr>
          <w:rFonts w:ascii="Arial" w:hAnsi="Arial" w:cs="Arial"/>
          <w:bCs/>
          <w:iCs/>
          <w:sz w:val="22"/>
          <w:szCs w:val="22"/>
        </w:rPr>
      </w:pPr>
    </w:p>
    <w:p w14:paraId="2000C0DE" w14:textId="77777777" w:rsidR="00031284" w:rsidRDefault="00031284" w:rsidP="00031284">
      <w:pPr>
        <w:pStyle w:val="NoSpacing"/>
        <w:ind w:left="567"/>
        <w:jc w:val="both"/>
        <w:rPr>
          <w:rFonts w:ascii="Arial" w:hAnsi="Arial" w:cs="Arial"/>
          <w:bCs/>
          <w:iCs/>
          <w:sz w:val="22"/>
          <w:szCs w:val="22"/>
        </w:rPr>
      </w:pPr>
    </w:p>
    <w:p w14:paraId="57F3C396" w14:textId="77777777" w:rsidR="00031284" w:rsidRDefault="00031284" w:rsidP="00031284">
      <w:pPr>
        <w:pStyle w:val="NoSpacing"/>
        <w:ind w:left="567"/>
        <w:jc w:val="right"/>
        <w:rPr>
          <w:rFonts w:ascii="Arial" w:hAnsi="Arial" w:cs="Arial"/>
          <w:bCs/>
          <w:iCs/>
          <w:sz w:val="22"/>
          <w:szCs w:val="22"/>
        </w:rPr>
      </w:pPr>
    </w:p>
    <w:p w14:paraId="3DA34183" w14:textId="3B150745" w:rsidR="00031284" w:rsidRPr="00AC605B" w:rsidRDefault="00031284" w:rsidP="00031284">
      <w:pPr>
        <w:pStyle w:val="NoSpacing"/>
        <w:ind w:left="567"/>
        <w:jc w:val="right"/>
        <w:rPr>
          <w:rFonts w:ascii="Arial" w:hAnsi="Arial" w:cs="Arial"/>
          <w:color w:val="000000" w:themeColor="text1"/>
          <w:sz w:val="22"/>
          <w:szCs w:val="22"/>
        </w:rPr>
      </w:pPr>
      <w:r>
        <w:rPr>
          <w:rFonts w:ascii="Arial" w:hAnsi="Arial" w:cs="Arial"/>
          <w:bCs/>
          <w:iCs/>
          <w:sz w:val="22"/>
          <w:szCs w:val="22"/>
        </w:rPr>
        <w:t>3.</w:t>
      </w:r>
    </w:p>
    <w:p w14:paraId="3AE0B937" w14:textId="77777777" w:rsidR="00031284" w:rsidRDefault="00031284" w:rsidP="00031284"/>
    <w:p w14:paraId="5A2E3A89" w14:textId="77777777" w:rsidR="00031284" w:rsidRDefault="00031284" w:rsidP="00031284"/>
    <w:p w14:paraId="3A888584" w14:textId="77777777" w:rsidR="00031284" w:rsidRDefault="00031284" w:rsidP="00031284"/>
    <w:p w14:paraId="0A160312" w14:textId="17351D47" w:rsidR="00031284" w:rsidRDefault="00031284" w:rsidP="00031284">
      <w:pPr>
        <w:jc w:val="right"/>
        <w:rPr>
          <w:b/>
          <w:bCs/>
        </w:rPr>
      </w:pPr>
      <w:r>
        <w:rPr>
          <w:b/>
          <w:bCs/>
        </w:rPr>
        <w:t>Ap</w:t>
      </w:r>
      <w:r w:rsidRPr="002C4959">
        <w:rPr>
          <w:b/>
          <w:bCs/>
        </w:rPr>
        <w:t>pendix</w:t>
      </w:r>
    </w:p>
    <w:p w14:paraId="09807766" w14:textId="77777777" w:rsidR="00031284" w:rsidRDefault="00031284" w:rsidP="00031284">
      <w:pPr>
        <w:jc w:val="right"/>
        <w:rPr>
          <w:b/>
          <w:bCs/>
        </w:rPr>
      </w:pPr>
    </w:p>
    <w:p w14:paraId="20713DD4" w14:textId="77777777" w:rsidR="00031284" w:rsidRPr="00535A4A" w:rsidRDefault="00031284" w:rsidP="00031284">
      <w:pPr>
        <w:pStyle w:val="NoSpacing"/>
        <w:ind w:left="567" w:right="142"/>
        <w:jc w:val="both"/>
        <w:rPr>
          <w:rFonts w:ascii="Arial" w:hAnsi="Arial" w:cs="Arial"/>
          <w:b/>
          <w:bCs/>
          <w:sz w:val="22"/>
          <w:szCs w:val="22"/>
        </w:rPr>
      </w:pPr>
      <w:r w:rsidRPr="00535A4A">
        <w:rPr>
          <w:rFonts w:ascii="Arial" w:hAnsi="Arial" w:cs="Arial"/>
          <w:b/>
          <w:bCs/>
          <w:sz w:val="22"/>
          <w:szCs w:val="22"/>
        </w:rPr>
        <w:t>RDS Employment Tribunal Pension Claims</w:t>
      </w:r>
    </w:p>
    <w:p w14:paraId="335DA337" w14:textId="77777777" w:rsidR="00031284" w:rsidRPr="00535A4A" w:rsidRDefault="00031284" w:rsidP="00031284">
      <w:pPr>
        <w:pStyle w:val="NoSpacing"/>
        <w:ind w:left="567" w:right="142"/>
        <w:jc w:val="both"/>
        <w:rPr>
          <w:rFonts w:ascii="Arial" w:hAnsi="Arial" w:cs="Arial"/>
          <w:b/>
          <w:bCs/>
          <w:sz w:val="22"/>
          <w:szCs w:val="22"/>
        </w:rPr>
      </w:pPr>
      <w:r w:rsidRPr="00535A4A">
        <w:rPr>
          <w:rFonts w:ascii="Arial" w:hAnsi="Arial" w:cs="Arial"/>
          <w:b/>
          <w:bCs/>
          <w:sz w:val="22"/>
          <w:szCs w:val="22"/>
        </w:rPr>
        <w:t>(Matthews and others v Kent and Medway Towns Fire Authority and others)</w:t>
      </w:r>
    </w:p>
    <w:p w14:paraId="2A4B4D79" w14:textId="77777777" w:rsidR="00031284" w:rsidRPr="00535A4A" w:rsidRDefault="00031284" w:rsidP="00031284">
      <w:pPr>
        <w:pStyle w:val="NoSpacing"/>
        <w:ind w:left="567" w:right="142"/>
        <w:jc w:val="both"/>
        <w:rPr>
          <w:rFonts w:ascii="Arial" w:hAnsi="Arial" w:cs="Arial"/>
          <w:b/>
          <w:bCs/>
          <w:sz w:val="22"/>
          <w:szCs w:val="22"/>
          <w:u w:val="single"/>
        </w:rPr>
      </w:pPr>
    </w:p>
    <w:p w14:paraId="25E7E24A" w14:textId="77777777" w:rsidR="00031284" w:rsidRPr="00535A4A"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 xml:space="preserve">Negotiations have been taking place with the Home Office and the FRAs nationally to bring final settlement to the pension’s aspects of the Employment Tribunal claims brought on behalf of RDS members under the Part-Time Workers (Prevention of Less Favourable Treatment) Regulations 2000 (‘PTWR’). </w:t>
      </w:r>
    </w:p>
    <w:p w14:paraId="4BE107B9" w14:textId="77777777" w:rsidR="00031284" w:rsidRPr="00535A4A" w:rsidRDefault="00031284" w:rsidP="00031284">
      <w:pPr>
        <w:pStyle w:val="NoSpacing"/>
        <w:ind w:left="567" w:right="142"/>
        <w:jc w:val="both"/>
        <w:rPr>
          <w:rFonts w:ascii="Arial" w:hAnsi="Arial" w:cs="Arial"/>
          <w:b/>
          <w:bCs/>
          <w:sz w:val="22"/>
          <w:szCs w:val="22"/>
          <w:u w:val="single"/>
        </w:rPr>
      </w:pPr>
    </w:p>
    <w:p w14:paraId="12F2320E" w14:textId="77777777" w:rsidR="00031284" w:rsidRPr="00535A4A"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Membership of the Modified Section of the NFPS was opened to RDS firefighters in respect of service between 1 July 2000 and 5 April 2006 (with the NFPS permitting membership for RDS firefighters from 6 April 2006 anyway). All individuals with service between these dates (regardless of whether they had lodged an Employment Tribunal claim, or whether they remained in service) were to have been given the opportunity to take part in an ‘options exercise’. Individuals should have received information in 2014/15 to explain what they could expect to receive in benefits if they chose to take up the option of membership for such periods of service, what they would have to pay in contributions and the steps they needed to take if they wished to take up the option. This was the ‘first options exercise’. We know that at least one Authority did not fulfil its duties in this regard.</w:t>
      </w:r>
    </w:p>
    <w:p w14:paraId="70770180" w14:textId="77777777" w:rsidR="00031284" w:rsidRPr="00535A4A" w:rsidRDefault="00031284" w:rsidP="00031284">
      <w:pPr>
        <w:pStyle w:val="NoSpacing"/>
        <w:ind w:left="567" w:right="142"/>
        <w:jc w:val="both"/>
        <w:rPr>
          <w:rFonts w:ascii="Arial" w:hAnsi="Arial" w:cs="Arial"/>
          <w:bCs/>
          <w:sz w:val="22"/>
          <w:szCs w:val="22"/>
        </w:rPr>
      </w:pPr>
    </w:p>
    <w:p w14:paraId="2081711B" w14:textId="77777777" w:rsidR="00031284" w:rsidRPr="00535A4A"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The ‘first options exercise’ only permitted service going as far back as 1 July 2000 to be taken into account for membership of the Modified Section of the NFPS.  It remained legally uncertain whether previous service could be taken into account. For this reason, the Employment Tribunal claims were stayed pending resolution of that issue.</w:t>
      </w:r>
    </w:p>
    <w:p w14:paraId="20DCD7FA" w14:textId="77777777" w:rsidR="00031284" w:rsidRPr="00535A4A" w:rsidRDefault="00031284" w:rsidP="00031284">
      <w:pPr>
        <w:pStyle w:val="NoSpacing"/>
        <w:ind w:left="567" w:right="142"/>
        <w:jc w:val="both"/>
        <w:rPr>
          <w:rFonts w:ascii="Arial" w:hAnsi="Arial" w:cs="Arial"/>
          <w:bCs/>
          <w:sz w:val="22"/>
          <w:szCs w:val="22"/>
        </w:rPr>
      </w:pPr>
    </w:p>
    <w:p w14:paraId="53564A04" w14:textId="77777777" w:rsidR="00031284" w:rsidRPr="00535A4A"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The issue was effectively resolved in another case in November 2018, meaning that service going back to the start of employment could be taken into account for the purpose of a claim under PTWR. The Home Office having accepted that the same principles should be applied to the RDS pension claims. The agreement with the Union seeks to resolve these outstanding issues in the RDS Employment Tribunal claims through a ‘second options exercise’.</w:t>
      </w:r>
    </w:p>
    <w:p w14:paraId="30625E23" w14:textId="77777777" w:rsidR="00031284" w:rsidRPr="00535A4A" w:rsidRDefault="00031284" w:rsidP="00031284">
      <w:pPr>
        <w:pStyle w:val="NoSpacing"/>
        <w:ind w:left="567" w:right="142"/>
        <w:jc w:val="both"/>
        <w:rPr>
          <w:rFonts w:ascii="Arial" w:hAnsi="Arial" w:cs="Arial"/>
          <w:b/>
          <w:bCs/>
          <w:sz w:val="22"/>
          <w:szCs w:val="22"/>
          <w:u w:val="single"/>
        </w:rPr>
      </w:pPr>
    </w:p>
    <w:p w14:paraId="48C220A8" w14:textId="77777777" w:rsidR="00031284" w:rsidRPr="00535A4A"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Eligibility to take part in the second options exercise will apply to those with relevant RDS service which began before 6 April 2006, regardless of whether the RDS firefighter presented a claim to an Employment Tribunal or not.</w:t>
      </w:r>
    </w:p>
    <w:p w14:paraId="5A6BB2DC" w14:textId="77777777" w:rsidR="00031284" w:rsidRPr="00535A4A" w:rsidRDefault="00031284" w:rsidP="00031284">
      <w:pPr>
        <w:pStyle w:val="NoSpacing"/>
        <w:ind w:left="567" w:right="142"/>
        <w:jc w:val="both"/>
        <w:rPr>
          <w:rFonts w:ascii="Arial" w:hAnsi="Arial" w:cs="Arial"/>
          <w:bCs/>
          <w:sz w:val="22"/>
          <w:szCs w:val="22"/>
        </w:rPr>
      </w:pPr>
    </w:p>
    <w:p w14:paraId="70B975FD" w14:textId="77777777" w:rsidR="00031284"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 xml:space="preserve">The position is different for RDS firefighters with exclusively post 1 July 2000 service because the offer they would receive under the second options exercise would not include any service in excess of that which should have been included in their offer under the first options exercise. The logic pursued by the Home Office and the FRAs is that RDS firefighters in this category would be getting a chance to go back on the decision they originally took under the first options exercise. Whilst that argument has force where the first options exercise was properly carried out, it is also the case that at least some FRAs failed to carry out the first options exercise. </w:t>
      </w:r>
    </w:p>
    <w:p w14:paraId="15F06379" w14:textId="77777777" w:rsidR="00031284" w:rsidRDefault="00031284" w:rsidP="00031284">
      <w:pPr>
        <w:pStyle w:val="NoSpacing"/>
        <w:ind w:left="567" w:right="142"/>
        <w:jc w:val="both"/>
        <w:rPr>
          <w:rFonts w:ascii="Arial" w:hAnsi="Arial" w:cs="Arial"/>
          <w:bCs/>
          <w:sz w:val="22"/>
          <w:szCs w:val="22"/>
        </w:rPr>
      </w:pPr>
    </w:p>
    <w:p w14:paraId="4224D679" w14:textId="77777777" w:rsidR="00031284" w:rsidRDefault="00031284" w:rsidP="00031284">
      <w:pPr>
        <w:pStyle w:val="NoSpacing"/>
        <w:ind w:left="567" w:right="142"/>
        <w:jc w:val="both"/>
        <w:rPr>
          <w:rFonts w:ascii="Arial" w:hAnsi="Arial" w:cs="Arial"/>
          <w:b/>
          <w:bCs/>
          <w:sz w:val="22"/>
          <w:szCs w:val="22"/>
          <w:u w:val="single"/>
        </w:rPr>
      </w:pPr>
      <w:r w:rsidRPr="00535A4A">
        <w:rPr>
          <w:rFonts w:ascii="Arial" w:hAnsi="Arial" w:cs="Arial"/>
          <w:bCs/>
          <w:sz w:val="22"/>
          <w:szCs w:val="22"/>
        </w:rPr>
        <w:t xml:space="preserve">The Union and our legal advisors have made the argument throughout that the simplest thing to do would be to re-run the first options exercise for all RDS firefighters. We are hopeful that an agreement will be reached on this issue. </w:t>
      </w:r>
    </w:p>
    <w:p w14:paraId="1A44BEAB" w14:textId="77777777" w:rsidR="00031284" w:rsidRPr="00535A4A" w:rsidRDefault="00031284" w:rsidP="00031284">
      <w:pPr>
        <w:pStyle w:val="NoSpacing"/>
        <w:ind w:left="567" w:right="142"/>
        <w:jc w:val="both"/>
        <w:rPr>
          <w:rFonts w:ascii="Arial" w:hAnsi="Arial" w:cs="Arial"/>
          <w:b/>
          <w:bCs/>
          <w:sz w:val="22"/>
          <w:szCs w:val="22"/>
          <w:u w:val="single"/>
        </w:rPr>
      </w:pPr>
    </w:p>
    <w:p w14:paraId="5A537060" w14:textId="77777777" w:rsidR="00031284"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Implementation of the second options exercise will need to take place via statutory instrument amending the NFPS. The Home Office will commit to introducing the legislation ‘as soon as reasonably practicable’. The second options exercise will start as soon as reasonably practicable after the legislation comes into force, and will run for 18 months.</w:t>
      </w:r>
    </w:p>
    <w:p w14:paraId="6BB0EC1B" w14:textId="77777777" w:rsidR="00031284" w:rsidRDefault="00031284" w:rsidP="00031284">
      <w:pPr>
        <w:pStyle w:val="NoSpacing"/>
        <w:ind w:left="567" w:right="142"/>
        <w:jc w:val="both"/>
        <w:rPr>
          <w:rFonts w:ascii="Arial" w:hAnsi="Arial" w:cs="Arial"/>
          <w:bCs/>
          <w:sz w:val="22"/>
          <w:szCs w:val="22"/>
        </w:rPr>
      </w:pPr>
    </w:p>
    <w:p w14:paraId="7D5ECB4E" w14:textId="30C4C340" w:rsidR="00031284" w:rsidRDefault="00031284" w:rsidP="00031284">
      <w:pPr>
        <w:pStyle w:val="NoSpacing"/>
        <w:ind w:left="567" w:right="142"/>
        <w:jc w:val="right"/>
        <w:rPr>
          <w:rFonts w:ascii="Arial" w:hAnsi="Arial" w:cs="Arial"/>
          <w:bCs/>
          <w:sz w:val="22"/>
          <w:szCs w:val="22"/>
        </w:rPr>
      </w:pPr>
      <w:r>
        <w:rPr>
          <w:rFonts w:ascii="Arial" w:hAnsi="Arial" w:cs="Arial"/>
          <w:bCs/>
          <w:sz w:val="22"/>
          <w:szCs w:val="22"/>
        </w:rPr>
        <w:t>4.</w:t>
      </w:r>
    </w:p>
    <w:p w14:paraId="38AA6726" w14:textId="77777777" w:rsidR="00031284" w:rsidRDefault="00031284" w:rsidP="00031284">
      <w:pPr>
        <w:pStyle w:val="NoSpacing"/>
        <w:ind w:left="567" w:right="142"/>
        <w:jc w:val="both"/>
        <w:rPr>
          <w:rFonts w:ascii="Arial" w:hAnsi="Arial" w:cs="Arial"/>
          <w:bCs/>
          <w:sz w:val="22"/>
          <w:szCs w:val="22"/>
        </w:rPr>
      </w:pPr>
    </w:p>
    <w:p w14:paraId="7C43E15C" w14:textId="77777777" w:rsidR="00031284" w:rsidRPr="00535A4A" w:rsidRDefault="00031284" w:rsidP="00031284">
      <w:pPr>
        <w:pStyle w:val="NoSpacing"/>
        <w:ind w:left="567" w:right="142"/>
        <w:jc w:val="both"/>
        <w:rPr>
          <w:rFonts w:ascii="Arial" w:hAnsi="Arial" w:cs="Arial"/>
          <w:bCs/>
          <w:sz w:val="22"/>
          <w:szCs w:val="22"/>
        </w:rPr>
      </w:pPr>
    </w:p>
    <w:p w14:paraId="4E0AECF0" w14:textId="77777777" w:rsidR="00031284" w:rsidRPr="00535A4A" w:rsidRDefault="00031284" w:rsidP="00031284">
      <w:pPr>
        <w:pStyle w:val="NoSpacing"/>
        <w:ind w:left="567" w:right="142"/>
        <w:jc w:val="both"/>
        <w:rPr>
          <w:rFonts w:ascii="Arial" w:hAnsi="Arial" w:cs="Arial"/>
          <w:bCs/>
          <w:sz w:val="22"/>
          <w:szCs w:val="22"/>
        </w:rPr>
      </w:pPr>
    </w:p>
    <w:p w14:paraId="143099C4" w14:textId="77777777" w:rsidR="00031284"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lastRenderedPageBreak/>
        <w:t xml:space="preserve">RDS firefighters who decided to take up the offer of membership under the second options exercise will be required to pay relevant employee contributions. Those who have already retired will have interest added to their backdated pension arrears. Those RDS firefighters who take up the offer of membership under the second options exercise who are unable to obtain tax relief through self-assessment will have the costs of purchasing past service reduced to reflect the tax relief that should have been available on their contributions.  </w:t>
      </w:r>
    </w:p>
    <w:p w14:paraId="2787C13B" w14:textId="77777777" w:rsidR="00031284" w:rsidRDefault="00031284" w:rsidP="00031284">
      <w:pPr>
        <w:pStyle w:val="NoSpacing"/>
        <w:ind w:left="567" w:right="142"/>
        <w:jc w:val="both"/>
        <w:rPr>
          <w:rFonts w:ascii="Arial" w:hAnsi="Arial" w:cs="Arial"/>
          <w:bCs/>
          <w:sz w:val="22"/>
          <w:szCs w:val="22"/>
        </w:rPr>
      </w:pPr>
    </w:p>
    <w:p w14:paraId="1E0CC3C9" w14:textId="77777777" w:rsidR="00031284" w:rsidRPr="00535A4A" w:rsidRDefault="00031284" w:rsidP="00031284">
      <w:pPr>
        <w:pStyle w:val="NoSpacing"/>
        <w:ind w:left="567" w:right="142"/>
        <w:jc w:val="both"/>
        <w:rPr>
          <w:rFonts w:ascii="Arial" w:hAnsi="Arial" w:cs="Arial"/>
          <w:bCs/>
          <w:sz w:val="22"/>
          <w:szCs w:val="22"/>
        </w:rPr>
      </w:pPr>
      <w:r w:rsidRPr="00535A4A">
        <w:rPr>
          <w:rFonts w:ascii="Arial" w:hAnsi="Arial" w:cs="Arial"/>
          <w:bCs/>
          <w:sz w:val="22"/>
          <w:szCs w:val="22"/>
        </w:rPr>
        <w:t>Although the requirement to pay arrears of contributions will not be welcome, the value of the extra pension will vastly exceed the value of the contributions due. Members will be given an opportunity to pay over a reasonable period of time, and to pay any outstanding balance out of their additional pension lump sum when they retire. Members will be provided with specific detail and advice following the conclusion of current negotiations.</w:t>
      </w:r>
    </w:p>
    <w:p w14:paraId="6ABFB734" w14:textId="77777777" w:rsidR="00031284" w:rsidRPr="002C4959" w:rsidRDefault="00031284" w:rsidP="00031284">
      <w:pPr>
        <w:rPr>
          <w:b/>
          <w:bCs/>
        </w:rPr>
      </w:pPr>
    </w:p>
    <w:p w14:paraId="04B84626" w14:textId="1269CDEF" w:rsidR="00EB2EE9" w:rsidRDefault="00EB2EE9" w:rsidP="006E137E">
      <w:pPr>
        <w:spacing w:line="240" w:lineRule="auto"/>
        <w:ind w:left="567"/>
        <w:jc w:val="both"/>
        <w:rPr>
          <w:rFonts w:ascii="Arial" w:hAnsi="Arial" w:cs="Arial"/>
          <w:sz w:val="22"/>
          <w:szCs w:val="22"/>
        </w:rPr>
      </w:pPr>
    </w:p>
    <w:p w14:paraId="2C67CB6A" w14:textId="77777777" w:rsidR="00EB2EE9" w:rsidRDefault="00EB2EE9" w:rsidP="006E137E">
      <w:pPr>
        <w:spacing w:line="240" w:lineRule="auto"/>
        <w:ind w:left="567"/>
        <w:jc w:val="both"/>
        <w:rPr>
          <w:rFonts w:ascii="Arial" w:hAnsi="Arial" w:cs="Arial"/>
          <w:sz w:val="22"/>
          <w:szCs w:val="22"/>
        </w:rPr>
      </w:pPr>
    </w:p>
    <w:p w14:paraId="3C39E585" w14:textId="77777777" w:rsidR="00066D7F" w:rsidRDefault="00066D7F" w:rsidP="00C6600C">
      <w:pPr>
        <w:spacing w:line="240" w:lineRule="auto"/>
        <w:ind w:left="567"/>
        <w:jc w:val="both"/>
        <w:rPr>
          <w:rFonts w:ascii="Arial" w:hAnsi="Arial" w:cs="Arial"/>
          <w:sz w:val="22"/>
          <w:szCs w:val="22"/>
        </w:rPr>
      </w:pPr>
    </w:p>
    <w:p w14:paraId="07833848" w14:textId="77777777" w:rsidR="00031284" w:rsidRDefault="00031284" w:rsidP="00C6600C">
      <w:pPr>
        <w:spacing w:line="240" w:lineRule="auto"/>
        <w:ind w:left="567"/>
        <w:jc w:val="both"/>
        <w:rPr>
          <w:rFonts w:ascii="Arial" w:hAnsi="Arial" w:cs="Arial"/>
          <w:sz w:val="22"/>
          <w:szCs w:val="22"/>
        </w:rPr>
      </w:pPr>
    </w:p>
    <w:p w14:paraId="5012E750" w14:textId="77777777" w:rsidR="00031284" w:rsidRDefault="00031284" w:rsidP="00C6600C">
      <w:pPr>
        <w:spacing w:line="240" w:lineRule="auto"/>
        <w:ind w:left="567"/>
        <w:jc w:val="both"/>
        <w:rPr>
          <w:rFonts w:ascii="Arial" w:hAnsi="Arial" w:cs="Arial"/>
          <w:sz w:val="22"/>
          <w:szCs w:val="22"/>
        </w:rPr>
      </w:pPr>
    </w:p>
    <w:p w14:paraId="0040DB02" w14:textId="77777777" w:rsidR="00031284" w:rsidRDefault="00031284" w:rsidP="00C6600C">
      <w:pPr>
        <w:spacing w:line="240" w:lineRule="auto"/>
        <w:ind w:left="567"/>
        <w:jc w:val="both"/>
        <w:rPr>
          <w:rFonts w:ascii="Arial" w:hAnsi="Arial" w:cs="Arial"/>
          <w:sz w:val="22"/>
          <w:szCs w:val="22"/>
        </w:rPr>
      </w:pPr>
    </w:p>
    <w:p w14:paraId="531E8144" w14:textId="77777777" w:rsidR="00031284" w:rsidRDefault="00031284" w:rsidP="00C6600C">
      <w:pPr>
        <w:spacing w:line="240" w:lineRule="auto"/>
        <w:ind w:left="567"/>
        <w:jc w:val="both"/>
        <w:rPr>
          <w:rFonts w:ascii="Arial" w:hAnsi="Arial" w:cs="Arial"/>
          <w:sz w:val="22"/>
          <w:szCs w:val="22"/>
        </w:rPr>
      </w:pPr>
    </w:p>
    <w:p w14:paraId="5451E79E" w14:textId="77777777" w:rsidR="00031284" w:rsidRDefault="00031284" w:rsidP="00C6600C">
      <w:pPr>
        <w:spacing w:line="240" w:lineRule="auto"/>
        <w:ind w:left="567"/>
        <w:jc w:val="both"/>
        <w:rPr>
          <w:rFonts w:ascii="Arial" w:hAnsi="Arial" w:cs="Arial"/>
          <w:sz w:val="22"/>
          <w:szCs w:val="22"/>
        </w:rPr>
      </w:pPr>
    </w:p>
    <w:p w14:paraId="652F7F6C" w14:textId="77777777" w:rsidR="00031284" w:rsidRDefault="00031284" w:rsidP="00C6600C">
      <w:pPr>
        <w:spacing w:line="240" w:lineRule="auto"/>
        <w:ind w:left="567"/>
        <w:jc w:val="both"/>
        <w:rPr>
          <w:rFonts w:ascii="Arial" w:hAnsi="Arial" w:cs="Arial"/>
          <w:sz w:val="22"/>
          <w:szCs w:val="22"/>
        </w:rPr>
      </w:pPr>
    </w:p>
    <w:p w14:paraId="6A384912" w14:textId="77777777" w:rsidR="00031284" w:rsidRDefault="00031284" w:rsidP="00C6600C">
      <w:pPr>
        <w:spacing w:line="240" w:lineRule="auto"/>
        <w:ind w:left="567"/>
        <w:jc w:val="both"/>
        <w:rPr>
          <w:rFonts w:ascii="Arial" w:hAnsi="Arial" w:cs="Arial"/>
          <w:sz w:val="22"/>
          <w:szCs w:val="22"/>
        </w:rPr>
      </w:pPr>
    </w:p>
    <w:p w14:paraId="0C581487" w14:textId="77777777" w:rsidR="00031284" w:rsidRDefault="00031284" w:rsidP="00C6600C">
      <w:pPr>
        <w:spacing w:line="240" w:lineRule="auto"/>
        <w:ind w:left="567"/>
        <w:jc w:val="both"/>
        <w:rPr>
          <w:rFonts w:ascii="Arial" w:hAnsi="Arial" w:cs="Arial"/>
          <w:sz w:val="22"/>
          <w:szCs w:val="22"/>
        </w:rPr>
      </w:pPr>
    </w:p>
    <w:p w14:paraId="2A18427B" w14:textId="77777777" w:rsidR="00031284" w:rsidRDefault="00031284" w:rsidP="00C6600C">
      <w:pPr>
        <w:spacing w:line="240" w:lineRule="auto"/>
        <w:ind w:left="567"/>
        <w:jc w:val="both"/>
        <w:rPr>
          <w:rFonts w:ascii="Arial" w:hAnsi="Arial" w:cs="Arial"/>
          <w:sz w:val="22"/>
          <w:szCs w:val="22"/>
        </w:rPr>
      </w:pPr>
    </w:p>
    <w:p w14:paraId="7FBB2E70" w14:textId="77777777" w:rsidR="00031284" w:rsidRDefault="00031284" w:rsidP="00C6600C">
      <w:pPr>
        <w:spacing w:line="240" w:lineRule="auto"/>
        <w:ind w:left="567"/>
        <w:jc w:val="both"/>
        <w:rPr>
          <w:rFonts w:ascii="Arial" w:hAnsi="Arial" w:cs="Arial"/>
          <w:sz w:val="22"/>
          <w:szCs w:val="22"/>
        </w:rPr>
      </w:pPr>
    </w:p>
    <w:p w14:paraId="4AF18303" w14:textId="77777777" w:rsidR="00031284" w:rsidRDefault="00031284" w:rsidP="00C6600C">
      <w:pPr>
        <w:spacing w:line="240" w:lineRule="auto"/>
        <w:ind w:left="567"/>
        <w:jc w:val="both"/>
        <w:rPr>
          <w:rFonts w:ascii="Arial" w:hAnsi="Arial" w:cs="Arial"/>
          <w:sz w:val="22"/>
          <w:szCs w:val="22"/>
        </w:rPr>
      </w:pPr>
    </w:p>
    <w:p w14:paraId="2E3BDB8A" w14:textId="77777777" w:rsidR="00031284" w:rsidRDefault="00031284" w:rsidP="00C6600C">
      <w:pPr>
        <w:spacing w:line="240" w:lineRule="auto"/>
        <w:ind w:left="567"/>
        <w:jc w:val="both"/>
        <w:rPr>
          <w:rFonts w:ascii="Arial" w:hAnsi="Arial" w:cs="Arial"/>
          <w:sz w:val="22"/>
          <w:szCs w:val="22"/>
        </w:rPr>
      </w:pPr>
    </w:p>
    <w:p w14:paraId="4962019E" w14:textId="77777777" w:rsidR="00031284" w:rsidRDefault="00031284" w:rsidP="00C6600C">
      <w:pPr>
        <w:spacing w:line="240" w:lineRule="auto"/>
        <w:ind w:left="567"/>
        <w:jc w:val="both"/>
        <w:rPr>
          <w:rFonts w:ascii="Arial" w:hAnsi="Arial" w:cs="Arial"/>
          <w:sz w:val="22"/>
          <w:szCs w:val="22"/>
        </w:rPr>
      </w:pPr>
    </w:p>
    <w:p w14:paraId="4FE4E4FC" w14:textId="77777777" w:rsidR="00031284" w:rsidRDefault="00031284" w:rsidP="00C6600C">
      <w:pPr>
        <w:spacing w:line="240" w:lineRule="auto"/>
        <w:ind w:left="567"/>
        <w:jc w:val="both"/>
        <w:rPr>
          <w:rFonts w:ascii="Arial" w:hAnsi="Arial" w:cs="Arial"/>
          <w:sz w:val="22"/>
          <w:szCs w:val="22"/>
        </w:rPr>
      </w:pPr>
    </w:p>
    <w:p w14:paraId="1B31888B" w14:textId="77777777" w:rsidR="00031284" w:rsidRDefault="00031284" w:rsidP="00C6600C">
      <w:pPr>
        <w:spacing w:line="240" w:lineRule="auto"/>
        <w:ind w:left="567"/>
        <w:jc w:val="both"/>
        <w:rPr>
          <w:rFonts w:ascii="Arial" w:hAnsi="Arial" w:cs="Arial"/>
          <w:sz w:val="22"/>
          <w:szCs w:val="22"/>
        </w:rPr>
      </w:pPr>
    </w:p>
    <w:p w14:paraId="564FECAD" w14:textId="77777777" w:rsidR="00031284" w:rsidRDefault="00031284" w:rsidP="00C6600C">
      <w:pPr>
        <w:spacing w:line="240" w:lineRule="auto"/>
        <w:ind w:left="567"/>
        <w:jc w:val="both"/>
        <w:rPr>
          <w:rFonts w:ascii="Arial" w:hAnsi="Arial" w:cs="Arial"/>
          <w:sz w:val="22"/>
          <w:szCs w:val="22"/>
        </w:rPr>
      </w:pPr>
    </w:p>
    <w:p w14:paraId="53377AD2" w14:textId="77777777" w:rsidR="00031284" w:rsidRDefault="00031284" w:rsidP="00C6600C">
      <w:pPr>
        <w:spacing w:line="240" w:lineRule="auto"/>
        <w:ind w:left="567"/>
        <w:jc w:val="both"/>
        <w:rPr>
          <w:rFonts w:ascii="Arial" w:hAnsi="Arial" w:cs="Arial"/>
          <w:sz w:val="22"/>
          <w:szCs w:val="22"/>
        </w:rPr>
      </w:pPr>
    </w:p>
    <w:p w14:paraId="126F9931" w14:textId="77777777" w:rsidR="00031284" w:rsidRDefault="00031284" w:rsidP="00C6600C">
      <w:pPr>
        <w:spacing w:line="240" w:lineRule="auto"/>
        <w:ind w:left="567"/>
        <w:jc w:val="both"/>
        <w:rPr>
          <w:rFonts w:ascii="Arial" w:hAnsi="Arial" w:cs="Arial"/>
          <w:sz w:val="22"/>
          <w:szCs w:val="22"/>
        </w:rPr>
      </w:pPr>
    </w:p>
    <w:p w14:paraId="5E54AA8A" w14:textId="77777777" w:rsidR="00031284" w:rsidRDefault="00031284" w:rsidP="00C6600C">
      <w:pPr>
        <w:spacing w:line="240" w:lineRule="auto"/>
        <w:ind w:left="567"/>
        <w:jc w:val="both"/>
        <w:rPr>
          <w:rFonts w:ascii="Arial" w:hAnsi="Arial" w:cs="Arial"/>
          <w:sz w:val="22"/>
          <w:szCs w:val="22"/>
        </w:rPr>
      </w:pPr>
    </w:p>
    <w:p w14:paraId="711F63BF" w14:textId="77777777" w:rsidR="00031284" w:rsidRDefault="00031284" w:rsidP="00C6600C">
      <w:pPr>
        <w:spacing w:line="240" w:lineRule="auto"/>
        <w:ind w:left="567"/>
        <w:jc w:val="both"/>
        <w:rPr>
          <w:rFonts w:ascii="Arial" w:hAnsi="Arial" w:cs="Arial"/>
          <w:sz w:val="22"/>
          <w:szCs w:val="22"/>
        </w:rPr>
      </w:pPr>
    </w:p>
    <w:p w14:paraId="5C427AA4" w14:textId="77777777" w:rsidR="00031284" w:rsidRDefault="00031284" w:rsidP="00C6600C">
      <w:pPr>
        <w:spacing w:line="240" w:lineRule="auto"/>
        <w:ind w:left="567"/>
        <w:jc w:val="both"/>
        <w:rPr>
          <w:rFonts w:ascii="Arial" w:hAnsi="Arial" w:cs="Arial"/>
          <w:sz w:val="22"/>
          <w:szCs w:val="22"/>
        </w:rPr>
      </w:pPr>
    </w:p>
    <w:p w14:paraId="7D67C0EA" w14:textId="77777777" w:rsidR="00031284" w:rsidRDefault="00031284" w:rsidP="00C6600C">
      <w:pPr>
        <w:spacing w:line="240" w:lineRule="auto"/>
        <w:ind w:left="567"/>
        <w:jc w:val="both"/>
        <w:rPr>
          <w:rFonts w:ascii="Arial" w:hAnsi="Arial" w:cs="Arial"/>
          <w:sz w:val="22"/>
          <w:szCs w:val="22"/>
        </w:rPr>
      </w:pPr>
    </w:p>
    <w:p w14:paraId="1060BAF6" w14:textId="77777777" w:rsidR="00031284" w:rsidRDefault="00031284" w:rsidP="00C6600C">
      <w:pPr>
        <w:spacing w:line="240" w:lineRule="auto"/>
        <w:ind w:left="567"/>
        <w:jc w:val="both"/>
        <w:rPr>
          <w:rFonts w:ascii="Arial" w:hAnsi="Arial" w:cs="Arial"/>
          <w:sz w:val="22"/>
          <w:szCs w:val="22"/>
        </w:rPr>
      </w:pPr>
    </w:p>
    <w:p w14:paraId="69F11CD9" w14:textId="77777777" w:rsidR="00031284" w:rsidRDefault="00031284" w:rsidP="00C6600C">
      <w:pPr>
        <w:spacing w:line="240" w:lineRule="auto"/>
        <w:ind w:left="567"/>
        <w:jc w:val="both"/>
        <w:rPr>
          <w:rFonts w:ascii="Arial" w:hAnsi="Arial" w:cs="Arial"/>
          <w:sz w:val="22"/>
          <w:szCs w:val="22"/>
        </w:rPr>
      </w:pPr>
    </w:p>
    <w:p w14:paraId="61EC947C" w14:textId="77777777" w:rsidR="00031284" w:rsidRDefault="00031284" w:rsidP="00C6600C">
      <w:pPr>
        <w:spacing w:line="240" w:lineRule="auto"/>
        <w:ind w:left="567"/>
        <w:jc w:val="both"/>
        <w:rPr>
          <w:rFonts w:ascii="Arial" w:hAnsi="Arial" w:cs="Arial"/>
          <w:sz w:val="22"/>
          <w:szCs w:val="22"/>
        </w:rPr>
      </w:pPr>
    </w:p>
    <w:p w14:paraId="4C094937" w14:textId="77777777" w:rsidR="00031284" w:rsidRDefault="00031284" w:rsidP="00C6600C">
      <w:pPr>
        <w:spacing w:line="240" w:lineRule="auto"/>
        <w:ind w:left="567"/>
        <w:jc w:val="both"/>
        <w:rPr>
          <w:rFonts w:ascii="Arial" w:hAnsi="Arial" w:cs="Arial"/>
          <w:sz w:val="22"/>
          <w:szCs w:val="22"/>
        </w:rPr>
      </w:pPr>
    </w:p>
    <w:p w14:paraId="1B4A999A" w14:textId="77777777" w:rsidR="00031284" w:rsidRDefault="00031284" w:rsidP="00C6600C">
      <w:pPr>
        <w:spacing w:line="240" w:lineRule="auto"/>
        <w:ind w:left="567"/>
        <w:jc w:val="both"/>
        <w:rPr>
          <w:rFonts w:ascii="Arial" w:hAnsi="Arial" w:cs="Arial"/>
          <w:sz w:val="22"/>
          <w:szCs w:val="22"/>
        </w:rPr>
      </w:pPr>
    </w:p>
    <w:p w14:paraId="17F35B86" w14:textId="77777777" w:rsidR="00031284" w:rsidRDefault="00031284" w:rsidP="00C6600C">
      <w:pPr>
        <w:spacing w:line="240" w:lineRule="auto"/>
        <w:ind w:left="567"/>
        <w:jc w:val="both"/>
        <w:rPr>
          <w:rFonts w:ascii="Arial" w:hAnsi="Arial" w:cs="Arial"/>
          <w:sz w:val="22"/>
          <w:szCs w:val="22"/>
        </w:rPr>
      </w:pPr>
    </w:p>
    <w:p w14:paraId="6E0AEE75" w14:textId="77777777" w:rsidR="00031284" w:rsidRDefault="00031284" w:rsidP="00C6600C">
      <w:pPr>
        <w:spacing w:line="240" w:lineRule="auto"/>
        <w:ind w:left="567"/>
        <w:jc w:val="both"/>
        <w:rPr>
          <w:rFonts w:ascii="Arial" w:hAnsi="Arial" w:cs="Arial"/>
          <w:sz w:val="22"/>
          <w:szCs w:val="22"/>
        </w:rPr>
      </w:pPr>
    </w:p>
    <w:p w14:paraId="346AE2FC" w14:textId="77777777" w:rsidR="00031284" w:rsidRDefault="00031284" w:rsidP="00C6600C">
      <w:pPr>
        <w:spacing w:line="240" w:lineRule="auto"/>
        <w:ind w:left="567"/>
        <w:jc w:val="both"/>
        <w:rPr>
          <w:rFonts w:ascii="Arial" w:hAnsi="Arial" w:cs="Arial"/>
          <w:sz w:val="22"/>
          <w:szCs w:val="22"/>
        </w:rPr>
      </w:pPr>
    </w:p>
    <w:p w14:paraId="0392A75B" w14:textId="77777777" w:rsidR="00031284" w:rsidRDefault="00031284" w:rsidP="00C6600C">
      <w:pPr>
        <w:spacing w:line="240" w:lineRule="auto"/>
        <w:ind w:left="567"/>
        <w:jc w:val="both"/>
        <w:rPr>
          <w:rFonts w:ascii="Arial" w:hAnsi="Arial" w:cs="Arial"/>
          <w:sz w:val="22"/>
          <w:szCs w:val="22"/>
        </w:rPr>
      </w:pPr>
    </w:p>
    <w:p w14:paraId="2C2AFE50" w14:textId="77777777" w:rsidR="00031284" w:rsidRDefault="00031284" w:rsidP="00C6600C">
      <w:pPr>
        <w:spacing w:line="240" w:lineRule="auto"/>
        <w:ind w:left="567"/>
        <w:jc w:val="both"/>
        <w:rPr>
          <w:rFonts w:ascii="Arial" w:hAnsi="Arial" w:cs="Arial"/>
          <w:sz w:val="22"/>
          <w:szCs w:val="22"/>
        </w:rPr>
      </w:pPr>
    </w:p>
    <w:p w14:paraId="086B1C02" w14:textId="77777777" w:rsidR="00031284" w:rsidRDefault="00031284" w:rsidP="00C6600C">
      <w:pPr>
        <w:spacing w:line="240" w:lineRule="auto"/>
        <w:ind w:left="567"/>
        <w:jc w:val="both"/>
        <w:rPr>
          <w:rFonts w:ascii="Arial" w:hAnsi="Arial" w:cs="Arial"/>
          <w:sz w:val="22"/>
          <w:szCs w:val="22"/>
        </w:rPr>
      </w:pPr>
    </w:p>
    <w:p w14:paraId="77894D08" w14:textId="77777777" w:rsidR="00031284" w:rsidRDefault="00031284" w:rsidP="00C6600C">
      <w:pPr>
        <w:spacing w:line="240" w:lineRule="auto"/>
        <w:ind w:left="567"/>
        <w:jc w:val="both"/>
        <w:rPr>
          <w:rFonts w:ascii="Arial" w:hAnsi="Arial" w:cs="Arial"/>
          <w:sz w:val="22"/>
          <w:szCs w:val="22"/>
        </w:rPr>
      </w:pPr>
    </w:p>
    <w:p w14:paraId="695D2D9B" w14:textId="77777777" w:rsidR="00031284" w:rsidRDefault="00031284" w:rsidP="00C6600C">
      <w:pPr>
        <w:spacing w:line="240" w:lineRule="auto"/>
        <w:ind w:left="567"/>
        <w:jc w:val="both"/>
        <w:rPr>
          <w:rFonts w:ascii="Arial" w:hAnsi="Arial" w:cs="Arial"/>
          <w:sz w:val="22"/>
          <w:szCs w:val="22"/>
        </w:rPr>
      </w:pPr>
    </w:p>
    <w:p w14:paraId="101E1D25" w14:textId="77777777" w:rsidR="00031284" w:rsidRDefault="00031284" w:rsidP="00C6600C">
      <w:pPr>
        <w:spacing w:line="240" w:lineRule="auto"/>
        <w:ind w:left="567"/>
        <w:jc w:val="both"/>
        <w:rPr>
          <w:rFonts w:ascii="Arial" w:hAnsi="Arial" w:cs="Arial"/>
          <w:sz w:val="22"/>
          <w:szCs w:val="22"/>
        </w:rPr>
      </w:pPr>
    </w:p>
    <w:p w14:paraId="6E50D28E" w14:textId="77777777" w:rsidR="00031284" w:rsidRDefault="00031284" w:rsidP="00031284">
      <w:pPr>
        <w:spacing w:line="240" w:lineRule="auto"/>
        <w:ind w:left="567"/>
        <w:jc w:val="right"/>
        <w:rPr>
          <w:rFonts w:ascii="Arial" w:hAnsi="Arial" w:cs="Arial"/>
          <w:sz w:val="22"/>
          <w:szCs w:val="22"/>
        </w:rPr>
      </w:pPr>
    </w:p>
    <w:p w14:paraId="2DAA81AE" w14:textId="013DBFDD" w:rsidR="00031284" w:rsidRDefault="00031284" w:rsidP="00031284">
      <w:pPr>
        <w:spacing w:line="240" w:lineRule="auto"/>
        <w:ind w:left="567"/>
        <w:jc w:val="right"/>
        <w:rPr>
          <w:rFonts w:ascii="Arial" w:hAnsi="Arial" w:cs="Arial"/>
          <w:sz w:val="22"/>
          <w:szCs w:val="22"/>
        </w:rPr>
      </w:pPr>
      <w:r>
        <w:rPr>
          <w:rFonts w:ascii="Arial" w:hAnsi="Arial" w:cs="Arial"/>
          <w:sz w:val="22"/>
          <w:szCs w:val="22"/>
        </w:rPr>
        <w:t>5.</w:t>
      </w:r>
    </w:p>
    <w:p w14:paraId="0668C5BF" w14:textId="77777777" w:rsidR="00031284" w:rsidRDefault="00031284" w:rsidP="00C6600C">
      <w:pPr>
        <w:spacing w:line="240" w:lineRule="auto"/>
        <w:ind w:left="567"/>
        <w:jc w:val="both"/>
        <w:rPr>
          <w:rFonts w:ascii="Arial" w:hAnsi="Arial" w:cs="Arial"/>
          <w:sz w:val="22"/>
          <w:szCs w:val="22"/>
        </w:rPr>
      </w:pPr>
    </w:p>
    <w:p w14:paraId="7C76E056" w14:textId="77777777" w:rsidR="00031284" w:rsidRDefault="00031284" w:rsidP="00C6600C">
      <w:pPr>
        <w:spacing w:line="240" w:lineRule="auto"/>
        <w:ind w:left="567"/>
        <w:jc w:val="both"/>
        <w:rPr>
          <w:rFonts w:ascii="Arial" w:hAnsi="Arial" w:cs="Arial"/>
          <w:sz w:val="22"/>
          <w:szCs w:val="22"/>
        </w:rPr>
      </w:pPr>
    </w:p>
    <w:sectPr w:rsidR="00031284" w:rsidSect="00031284">
      <w:headerReference w:type="default" r:id="rId9"/>
      <w:headerReference w:type="first" r:id="rId10"/>
      <w:pgSz w:w="11900" w:h="16840"/>
      <w:pgMar w:top="1588" w:right="1127" w:bottom="0" w:left="709"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0E7AC" w14:textId="77777777" w:rsidR="00AB389A" w:rsidRDefault="00AB389A">
      <w:pPr>
        <w:spacing w:line="240" w:lineRule="auto"/>
      </w:pPr>
      <w:r>
        <w:separator/>
      </w:r>
    </w:p>
  </w:endnote>
  <w:endnote w:type="continuationSeparator" w:id="0">
    <w:p w14:paraId="350EFBE9" w14:textId="77777777" w:rsidR="00AB389A" w:rsidRDefault="00AB3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C0286" w14:textId="77777777" w:rsidR="00AB389A" w:rsidRDefault="00AB389A">
      <w:pPr>
        <w:spacing w:line="240" w:lineRule="auto"/>
      </w:pPr>
      <w:r>
        <w:separator/>
      </w:r>
    </w:p>
  </w:footnote>
  <w:footnote w:type="continuationSeparator" w:id="0">
    <w:p w14:paraId="56F0A08F" w14:textId="77777777" w:rsidR="00AB389A" w:rsidRDefault="00AB389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C007" w14:textId="77777777" w:rsidR="00287DFF" w:rsidRDefault="00BA5017"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24425"/>
    <w:multiLevelType w:val="hybridMultilevel"/>
    <w:tmpl w:val="32DEEEC6"/>
    <w:lvl w:ilvl="0" w:tplc="920A176E">
      <w:start w:val="1"/>
      <w:numFmt w:val="lowerLetter"/>
      <w:lvlText w:val="(%1)"/>
      <w:lvlJc w:val="left"/>
      <w:pPr>
        <w:ind w:left="1386" w:hanging="360"/>
      </w:pPr>
    </w:lvl>
    <w:lvl w:ilvl="1" w:tplc="08090019">
      <w:start w:val="1"/>
      <w:numFmt w:val="lowerLetter"/>
      <w:lvlText w:val="%2."/>
      <w:lvlJc w:val="left"/>
      <w:pPr>
        <w:ind w:left="2106" w:hanging="360"/>
      </w:pPr>
    </w:lvl>
    <w:lvl w:ilvl="2" w:tplc="0809001B">
      <w:start w:val="1"/>
      <w:numFmt w:val="lowerRoman"/>
      <w:lvlText w:val="%3."/>
      <w:lvlJc w:val="right"/>
      <w:pPr>
        <w:ind w:left="2826" w:hanging="180"/>
      </w:pPr>
    </w:lvl>
    <w:lvl w:ilvl="3" w:tplc="0809000F">
      <w:start w:val="1"/>
      <w:numFmt w:val="decimal"/>
      <w:lvlText w:val="%4."/>
      <w:lvlJc w:val="left"/>
      <w:pPr>
        <w:ind w:left="3546" w:hanging="360"/>
      </w:pPr>
    </w:lvl>
    <w:lvl w:ilvl="4" w:tplc="08090019">
      <w:start w:val="1"/>
      <w:numFmt w:val="lowerLetter"/>
      <w:lvlText w:val="%5."/>
      <w:lvlJc w:val="left"/>
      <w:pPr>
        <w:ind w:left="4266" w:hanging="360"/>
      </w:pPr>
    </w:lvl>
    <w:lvl w:ilvl="5" w:tplc="0809001B">
      <w:start w:val="1"/>
      <w:numFmt w:val="lowerRoman"/>
      <w:lvlText w:val="%6."/>
      <w:lvlJc w:val="right"/>
      <w:pPr>
        <w:ind w:left="4986" w:hanging="180"/>
      </w:pPr>
    </w:lvl>
    <w:lvl w:ilvl="6" w:tplc="0809000F">
      <w:start w:val="1"/>
      <w:numFmt w:val="decimal"/>
      <w:lvlText w:val="%7."/>
      <w:lvlJc w:val="left"/>
      <w:pPr>
        <w:ind w:left="5706" w:hanging="360"/>
      </w:pPr>
    </w:lvl>
    <w:lvl w:ilvl="7" w:tplc="08090019">
      <w:start w:val="1"/>
      <w:numFmt w:val="lowerLetter"/>
      <w:lvlText w:val="%8."/>
      <w:lvlJc w:val="left"/>
      <w:pPr>
        <w:ind w:left="6426" w:hanging="360"/>
      </w:pPr>
    </w:lvl>
    <w:lvl w:ilvl="8" w:tplc="0809001B">
      <w:start w:val="1"/>
      <w:numFmt w:val="lowerRoman"/>
      <w:lvlText w:val="%9."/>
      <w:lvlJc w:val="right"/>
      <w:pPr>
        <w:ind w:left="7146" w:hanging="180"/>
      </w:pPr>
    </w:lvl>
  </w:abstractNum>
  <w:abstractNum w:abstractNumId="1" w15:restartNumberingAfterBreak="0">
    <w:nsid w:val="10F0781E"/>
    <w:multiLevelType w:val="multilevel"/>
    <w:tmpl w:val="E252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E57F0"/>
    <w:multiLevelType w:val="hybridMultilevel"/>
    <w:tmpl w:val="9470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75BD4"/>
    <w:multiLevelType w:val="hybridMultilevel"/>
    <w:tmpl w:val="40F0B1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187550"/>
    <w:multiLevelType w:val="hybridMultilevel"/>
    <w:tmpl w:val="9B2A3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BAB7E5B"/>
    <w:multiLevelType w:val="hybridMultilevel"/>
    <w:tmpl w:val="2648E0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4B967A8"/>
    <w:multiLevelType w:val="hybridMultilevel"/>
    <w:tmpl w:val="A53C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E7491"/>
    <w:multiLevelType w:val="hybridMultilevel"/>
    <w:tmpl w:val="58D2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40410"/>
    <w:multiLevelType w:val="hybridMultilevel"/>
    <w:tmpl w:val="B296AE34"/>
    <w:lvl w:ilvl="0" w:tplc="5C08F7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412D40"/>
    <w:multiLevelType w:val="hybridMultilevel"/>
    <w:tmpl w:val="455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6327A"/>
    <w:multiLevelType w:val="hybridMultilevel"/>
    <w:tmpl w:val="49D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D1007"/>
    <w:multiLevelType w:val="hybridMultilevel"/>
    <w:tmpl w:val="33F23D2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68CC396C"/>
    <w:multiLevelType w:val="hybridMultilevel"/>
    <w:tmpl w:val="83E2E9A4"/>
    <w:lvl w:ilvl="0" w:tplc="158CF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2"/>
  </w:num>
  <w:num w:numId="5">
    <w:abstractNumId w:val="11"/>
  </w:num>
  <w:num w:numId="6">
    <w:abstractNumId w:val="8"/>
  </w:num>
  <w:num w:numId="7">
    <w:abstractNumId w:val="12"/>
  </w:num>
  <w:num w:numId="8">
    <w:abstractNumId w:val="9"/>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1AE5"/>
    <w:rsid w:val="0000294E"/>
    <w:rsid w:val="0001156C"/>
    <w:rsid w:val="000124CE"/>
    <w:rsid w:val="000133C9"/>
    <w:rsid w:val="00017C3E"/>
    <w:rsid w:val="00020359"/>
    <w:rsid w:val="00020F6A"/>
    <w:rsid w:val="00024A0B"/>
    <w:rsid w:val="00030897"/>
    <w:rsid w:val="00031284"/>
    <w:rsid w:val="0003517D"/>
    <w:rsid w:val="000363C6"/>
    <w:rsid w:val="00046563"/>
    <w:rsid w:val="00046EBB"/>
    <w:rsid w:val="00052B41"/>
    <w:rsid w:val="00057D94"/>
    <w:rsid w:val="00060103"/>
    <w:rsid w:val="0006361D"/>
    <w:rsid w:val="0006663C"/>
    <w:rsid w:val="00066D7F"/>
    <w:rsid w:val="000707F5"/>
    <w:rsid w:val="000778D2"/>
    <w:rsid w:val="00083634"/>
    <w:rsid w:val="0008467D"/>
    <w:rsid w:val="00086F4E"/>
    <w:rsid w:val="000878CB"/>
    <w:rsid w:val="0009589F"/>
    <w:rsid w:val="00096D19"/>
    <w:rsid w:val="000A0818"/>
    <w:rsid w:val="000A133F"/>
    <w:rsid w:val="000A6FCF"/>
    <w:rsid w:val="000B0E65"/>
    <w:rsid w:val="000B3AC1"/>
    <w:rsid w:val="000D11F9"/>
    <w:rsid w:val="000D2BF9"/>
    <w:rsid w:val="000E175B"/>
    <w:rsid w:val="000E5268"/>
    <w:rsid w:val="000E785B"/>
    <w:rsid w:val="00113263"/>
    <w:rsid w:val="001156A8"/>
    <w:rsid w:val="00147406"/>
    <w:rsid w:val="00157127"/>
    <w:rsid w:val="00162B07"/>
    <w:rsid w:val="00173A57"/>
    <w:rsid w:val="00177D03"/>
    <w:rsid w:val="0018648C"/>
    <w:rsid w:val="0019549E"/>
    <w:rsid w:val="001A00F0"/>
    <w:rsid w:val="001A4866"/>
    <w:rsid w:val="001A6C3E"/>
    <w:rsid w:val="001B4D34"/>
    <w:rsid w:val="001C2565"/>
    <w:rsid w:val="001C25BA"/>
    <w:rsid w:val="001C626E"/>
    <w:rsid w:val="001D0E35"/>
    <w:rsid w:val="001D6EF4"/>
    <w:rsid w:val="001E1179"/>
    <w:rsid w:val="001E344B"/>
    <w:rsid w:val="001E4D70"/>
    <w:rsid w:val="001E5A3D"/>
    <w:rsid w:val="001F5E17"/>
    <w:rsid w:val="00213387"/>
    <w:rsid w:val="002214FC"/>
    <w:rsid w:val="0022483E"/>
    <w:rsid w:val="002402F8"/>
    <w:rsid w:val="002474AB"/>
    <w:rsid w:val="00252D08"/>
    <w:rsid w:val="00257231"/>
    <w:rsid w:val="002661C8"/>
    <w:rsid w:val="0026642E"/>
    <w:rsid w:val="00271DFD"/>
    <w:rsid w:val="00274C21"/>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33B76"/>
    <w:rsid w:val="00343698"/>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C287F"/>
    <w:rsid w:val="003D35B3"/>
    <w:rsid w:val="003D4998"/>
    <w:rsid w:val="003E210F"/>
    <w:rsid w:val="003E4CCB"/>
    <w:rsid w:val="003F0174"/>
    <w:rsid w:val="003F61E0"/>
    <w:rsid w:val="003F694D"/>
    <w:rsid w:val="0040318F"/>
    <w:rsid w:val="00410D19"/>
    <w:rsid w:val="00413C42"/>
    <w:rsid w:val="004140D0"/>
    <w:rsid w:val="004144F5"/>
    <w:rsid w:val="00425F58"/>
    <w:rsid w:val="00427F74"/>
    <w:rsid w:val="0043194E"/>
    <w:rsid w:val="0043233A"/>
    <w:rsid w:val="004365B5"/>
    <w:rsid w:val="00442D84"/>
    <w:rsid w:val="00451626"/>
    <w:rsid w:val="004540BF"/>
    <w:rsid w:val="00454F3A"/>
    <w:rsid w:val="004608EF"/>
    <w:rsid w:val="004728A3"/>
    <w:rsid w:val="00474572"/>
    <w:rsid w:val="00475FDC"/>
    <w:rsid w:val="00487303"/>
    <w:rsid w:val="0049232C"/>
    <w:rsid w:val="00494193"/>
    <w:rsid w:val="004B6188"/>
    <w:rsid w:val="004B69AE"/>
    <w:rsid w:val="004C3CC8"/>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4387"/>
    <w:rsid w:val="005744A5"/>
    <w:rsid w:val="00576946"/>
    <w:rsid w:val="00577867"/>
    <w:rsid w:val="00580246"/>
    <w:rsid w:val="00590910"/>
    <w:rsid w:val="005B390E"/>
    <w:rsid w:val="005C1CA9"/>
    <w:rsid w:val="005C316F"/>
    <w:rsid w:val="005C4068"/>
    <w:rsid w:val="005C5164"/>
    <w:rsid w:val="005C6FEF"/>
    <w:rsid w:val="005C734A"/>
    <w:rsid w:val="005D2662"/>
    <w:rsid w:val="005E2088"/>
    <w:rsid w:val="005E2C6E"/>
    <w:rsid w:val="005E3B19"/>
    <w:rsid w:val="005E42C9"/>
    <w:rsid w:val="005E59AA"/>
    <w:rsid w:val="005F0FE4"/>
    <w:rsid w:val="005F4DCD"/>
    <w:rsid w:val="005F5FDE"/>
    <w:rsid w:val="005F64FB"/>
    <w:rsid w:val="0060423D"/>
    <w:rsid w:val="0060779D"/>
    <w:rsid w:val="00607E1C"/>
    <w:rsid w:val="00610E06"/>
    <w:rsid w:val="00612CD2"/>
    <w:rsid w:val="00621B10"/>
    <w:rsid w:val="00626738"/>
    <w:rsid w:val="00631287"/>
    <w:rsid w:val="00634188"/>
    <w:rsid w:val="006438AB"/>
    <w:rsid w:val="00643D00"/>
    <w:rsid w:val="00650C56"/>
    <w:rsid w:val="006541E9"/>
    <w:rsid w:val="00656C2C"/>
    <w:rsid w:val="00656C8A"/>
    <w:rsid w:val="00660D20"/>
    <w:rsid w:val="006647C9"/>
    <w:rsid w:val="00665EEE"/>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D76FE"/>
    <w:rsid w:val="006E137E"/>
    <w:rsid w:val="006F0A23"/>
    <w:rsid w:val="006F668C"/>
    <w:rsid w:val="006F6833"/>
    <w:rsid w:val="006F7780"/>
    <w:rsid w:val="00701E21"/>
    <w:rsid w:val="00707DAB"/>
    <w:rsid w:val="0071397D"/>
    <w:rsid w:val="00721BBC"/>
    <w:rsid w:val="00742577"/>
    <w:rsid w:val="0074340D"/>
    <w:rsid w:val="00743836"/>
    <w:rsid w:val="00754BDA"/>
    <w:rsid w:val="007639AE"/>
    <w:rsid w:val="00763DC9"/>
    <w:rsid w:val="007650BE"/>
    <w:rsid w:val="0076571D"/>
    <w:rsid w:val="0076621D"/>
    <w:rsid w:val="00770C9A"/>
    <w:rsid w:val="00774FF0"/>
    <w:rsid w:val="007815BE"/>
    <w:rsid w:val="00796476"/>
    <w:rsid w:val="007A7059"/>
    <w:rsid w:val="007B171F"/>
    <w:rsid w:val="007D44A6"/>
    <w:rsid w:val="007E2813"/>
    <w:rsid w:val="007F4007"/>
    <w:rsid w:val="007F70F0"/>
    <w:rsid w:val="008005D4"/>
    <w:rsid w:val="00801B61"/>
    <w:rsid w:val="00807426"/>
    <w:rsid w:val="00810987"/>
    <w:rsid w:val="00812109"/>
    <w:rsid w:val="00817621"/>
    <w:rsid w:val="00821010"/>
    <w:rsid w:val="00830A5F"/>
    <w:rsid w:val="008419CE"/>
    <w:rsid w:val="00841B05"/>
    <w:rsid w:val="00844484"/>
    <w:rsid w:val="00844638"/>
    <w:rsid w:val="00844F8D"/>
    <w:rsid w:val="008458A4"/>
    <w:rsid w:val="00857094"/>
    <w:rsid w:val="00860A86"/>
    <w:rsid w:val="00862440"/>
    <w:rsid w:val="0086550C"/>
    <w:rsid w:val="00866D9A"/>
    <w:rsid w:val="00874D99"/>
    <w:rsid w:val="00874EEF"/>
    <w:rsid w:val="00876334"/>
    <w:rsid w:val="0087704F"/>
    <w:rsid w:val="008823A8"/>
    <w:rsid w:val="00884E6C"/>
    <w:rsid w:val="008858AA"/>
    <w:rsid w:val="00887684"/>
    <w:rsid w:val="008933FD"/>
    <w:rsid w:val="00893632"/>
    <w:rsid w:val="008955FF"/>
    <w:rsid w:val="008A2D03"/>
    <w:rsid w:val="008A6C88"/>
    <w:rsid w:val="008B0D24"/>
    <w:rsid w:val="008B76FE"/>
    <w:rsid w:val="008C2C45"/>
    <w:rsid w:val="008D07FC"/>
    <w:rsid w:val="008D146A"/>
    <w:rsid w:val="008D2555"/>
    <w:rsid w:val="008D361A"/>
    <w:rsid w:val="008E1154"/>
    <w:rsid w:val="008E1EE9"/>
    <w:rsid w:val="008E4864"/>
    <w:rsid w:val="008E5B68"/>
    <w:rsid w:val="008E6269"/>
    <w:rsid w:val="008E6C3B"/>
    <w:rsid w:val="008E7882"/>
    <w:rsid w:val="008F26FE"/>
    <w:rsid w:val="008F3351"/>
    <w:rsid w:val="008F3E3A"/>
    <w:rsid w:val="008F5138"/>
    <w:rsid w:val="00910AEA"/>
    <w:rsid w:val="0092418E"/>
    <w:rsid w:val="00926C1C"/>
    <w:rsid w:val="00931903"/>
    <w:rsid w:val="00932A5B"/>
    <w:rsid w:val="00933276"/>
    <w:rsid w:val="0093431C"/>
    <w:rsid w:val="00934D74"/>
    <w:rsid w:val="00956862"/>
    <w:rsid w:val="00956897"/>
    <w:rsid w:val="00965586"/>
    <w:rsid w:val="0097217A"/>
    <w:rsid w:val="00973860"/>
    <w:rsid w:val="00975923"/>
    <w:rsid w:val="009915D4"/>
    <w:rsid w:val="00997369"/>
    <w:rsid w:val="009A00AA"/>
    <w:rsid w:val="009A258A"/>
    <w:rsid w:val="009A2664"/>
    <w:rsid w:val="009A51BC"/>
    <w:rsid w:val="009A7E7B"/>
    <w:rsid w:val="009B27EE"/>
    <w:rsid w:val="009B33B7"/>
    <w:rsid w:val="009B3C89"/>
    <w:rsid w:val="009B7180"/>
    <w:rsid w:val="009B73B8"/>
    <w:rsid w:val="009C653A"/>
    <w:rsid w:val="009D50D2"/>
    <w:rsid w:val="009E01F6"/>
    <w:rsid w:val="009E28D3"/>
    <w:rsid w:val="009E6004"/>
    <w:rsid w:val="009E6E3F"/>
    <w:rsid w:val="009F2BF2"/>
    <w:rsid w:val="009F3F1D"/>
    <w:rsid w:val="009F73C5"/>
    <w:rsid w:val="00A00505"/>
    <w:rsid w:val="00A0156B"/>
    <w:rsid w:val="00A145B1"/>
    <w:rsid w:val="00A278B2"/>
    <w:rsid w:val="00A343BC"/>
    <w:rsid w:val="00A36591"/>
    <w:rsid w:val="00A4187D"/>
    <w:rsid w:val="00A47703"/>
    <w:rsid w:val="00A57B66"/>
    <w:rsid w:val="00A62A8E"/>
    <w:rsid w:val="00A66A4A"/>
    <w:rsid w:val="00A67C87"/>
    <w:rsid w:val="00A67DA8"/>
    <w:rsid w:val="00A70A24"/>
    <w:rsid w:val="00A740AB"/>
    <w:rsid w:val="00A750F4"/>
    <w:rsid w:val="00A75ED0"/>
    <w:rsid w:val="00A81FAE"/>
    <w:rsid w:val="00A82B48"/>
    <w:rsid w:val="00A869FD"/>
    <w:rsid w:val="00AA430C"/>
    <w:rsid w:val="00AA70BC"/>
    <w:rsid w:val="00AA7A3C"/>
    <w:rsid w:val="00AB3007"/>
    <w:rsid w:val="00AB389A"/>
    <w:rsid w:val="00AB3D7C"/>
    <w:rsid w:val="00AB466F"/>
    <w:rsid w:val="00AC32FE"/>
    <w:rsid w:val="00AC422D"/>
    <w:rsid w:val="00AC7591"/>
    <w:rsid w:val="00AD559A"/>
    <w:rsid w:val="00AD5EB5"/>
    <w:rsid w:val="00AD7862"/>
    <w:rsid w:val="00AE2C74"/>
    <w:rsid w:val="00AF36B8"/>
    <w:rsid w:val="00B0169C"/>
    <w:rsid w:val="00B01F58"/>
    <w:rsid w:val="00B1168F"/>
    <w:rsid w:val="00B12B0F"/>
    <w:rsid w:val="00B17188"/>
    <w:rsid w:val="00B21CC6"/>
    <w:rsid w:val="00B21E59"/>
    <w:rsid w:val="00B22544"/>
    <w:rsid w:val="00B27E63"/>
    <w:rsid w:val="00B36229"/>
    <w:rsid w:val="00B57101"/>
    <w:rsid w:val="00B60998"/>
    <w:rsid w:val="00B75476"/>
    <w:rsid w:val="00B77A89"/>
    <w:rsid w:val="00B83998"/>
    <w:rsid w:val="00B90359"/>
    <w:rsid w:val="00B95804"/>
    <w:rsid w:val="00B9615E"/>
    <w:rsid w:val="00BA5017"/>
    <w:rsid w:val="00BC593D"/>
    <w:rsid w:val="00BC5AF8"/>
    <w:rsid w:val="00BC630B"/>
    <w:rsid w:val="00BC7F94"/>
    <w:rsid w:val="00BD642F"/>
    <w:rsid w:val="00BE45AE"/>
    <w:rsid w:val="00BE521A"/>
    <w:rsid w:val="00BF3995"/>
    <w:rsid w:val="00C00694"/>
    <w:rsid w:val="00C04DEF"/>
    <w:rsid w:val="00C1644C"/>
    <w:rsid w:val="00C16653"/>
    <w:rsid w:val="00C202EA"/>
    <w:rsid w:val="00C23111"/>
    <w:rsid w:val="00C347F0"/>
    <w:rsid w:val="00C45208"/>
    <w:rsid w:val="00C55790"/>
    <w:rsid w:val="00C55F70"/>
    <w:rsid w:val="00C579EE"/>
    <w:rsid w:val="00C6338B"/>
    <w:rsid w:val="00C6600C"/>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1D66"/>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4107"/>
    <w:rsid w:val="00D47FD5"/>
    <w:rsid w:val="00D54FC3"/>
    <w:rsid w:val="00D56C23"/>
    <w:rsid w:val="00D62332"/>
    <w:rsid w:val="00D63723"/>
    <w:rsid w:val="00D7071C"/>
    <w:rsid w:val="00D72E95"/>
    <w:rsid w:val="00D8501D"/>
    <w:rsid w:val="00D85CCD"/>
    <w:rsid w:val="00D9144E"/>
    <w:rsid w:val="00DA0F53"/>
    <w:rsid w:val="00DA24B7"/>
    <w:rsid w:val="00DB0C1C"/>
    <w:rsid w:val="00DB48CC"/>
    <w:rsid w:val="00DB54E7"/>
    <w:rsid w:val="00DB5C1B"/>
    <w:rsid w:val="00DC77AF"/>
    <w:rsid w:val="00DD78CB"/>
    <w:rsid w:val="00DF0660"/>
    <w:rsid w:val="00DF0CB4"/>
    <w:rsid w:val="00DF117F"/>
    <w:rsid w:val="00DF427D"/>
    <w:rsid w:val="00E0235F"/>
    <w:rsid w:val="00E04EBF"/>
    <w:rsid w:val="00E11DC2"/>
    <w:rsid w:val="00E20A05"/>
    <w:rsid w:val="00E25024"/>
    <w:rsid w:val="00E257FF"/>
    <w:rsid w:val="00E40E3A"/>
    <w:rsid w:val="00E43170"/>
    <w:rsid w:val="00E45A10"/>
    <w:rsid w:val="00E472AD"/>
    <w:rsid w:val="00E51372"/>
    <w:rsid w:val="00E63020"/>
    <w:rsid w:val="00E6353E"/>
    <w:rsid w:val="00E66535"/>
    <w:rsid w:val="00E71159"/>
    <w:rsid w:val="00E71E72"/>
    <w:rsid w:val="00E8167C"/>
    <w:rsid w:val="00E83ED8"/>
    <w:rsid w:val="00E8644E"/>
    <w:rsid w:val="00E87EA5"/>
    <w:rsid w:val="00E97D2F"/>
    <w:rsid w:val="00EA00DD"/>
    <w:rsid w:val="00EA722A"/>
    <w:rsid w:val="00EB1EAB"/>
    <w:rsid w:val="00EB2EE9"/>
    <w:rsid w:val="00EB6988"/>
    <w:rsid w:val="00EC0FC5"/>
    <w:rsid w:val="00EC5674"/>
    <w:rsid w:val="00ED0379"/>
    <w:rsid w:val="00ED2DFF"/>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61AC9"/>
    <w:rsid w:val="00F65DA2"/>
    <w:rsid w:val="00F824E4"/>
    <w:rsid w:val="00F82736"/>
    <w:rsid w:val="00F82F82"/>
    <w:rsid w:val="00F8476B"/>
    <w:rsid w:val="00F97D2D"/>
    <w:rsid w:val="00FA3D62"/>
    <w:rsid w:val="00FB2EE5"/>
    <w:rsid w:val="00FB547F"/>
    <w:rsid w:val="00FC07AE"/>
    <w:rsid w:val="00FC189E"/>
    <w:rsid w:val="00FC3770"/>
    <w:rsid w:val="00FD12B3"/>
    <w:rsid w:val="00FD2354"/>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C1"/>
    <w:pPr>
      <w:spacing w:line="360" w:lineRule="auto"/>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NoSpacing">
    <w:name w:val="No Spacing"/>
    <w:uiPriority w:val="1"/>
    <w:qFormat/>
    <w:rsid w:val="003F0174"/>
    <w:pPr>
      <w:ind w:left="0"/>
    </w:pPr>
    <w:rPr>
      <w:sz w:val="24"/>
      <w:szCs w:val="24"/>
    </w:rPr>
  </w:style>
  <w:style w:type="paragraph" w:styleId="Footer">
    <w:name w:val="footer"/>
    <w:basedOn w:val="Normal"/>
    <w:link w:val="FooterChar"/>
    <w:uiPriority w:val="99"/>
    <w:unhideWhenUsed/>
    <w:rsid w:val="00E472AD"/>
    <w:pPr>
      <w:tabs>
        <w:tab w:val="center" w:pos="4513"/>
        <w:tab w:val="right" w:pos="9026"/>
      </w:tabs>
      <w:spacing w:line="240" w:lineRule="auto"/>
    </w:pPr>
  </w:style>
  <w:style w:type="character" w:customStyle="1" w:styleId="FooterChar">
    <w:name w:val="Footer Char"/>
    <w:basedOn w:val="DefaultParagraphFont"/>
    <w:link w:val="Footer"/>
    <w:uiPriority w:val="99"/>
    <w:rsid w:val="00E472AD"/>
    <w:rPr>
      <w:sz w:val="24"/>
      <w:szCs w:val="24"/>
    </w:rPr>
  </w:style>
  <w:style w:type="table" w:styleId="TableGrid">
    <w:name w:val="Table Grid"/>
    <w:basedOn w:val="TableNormal"/>
    <w:uiPriority w:val="39"/>
    <w:rsid w:val="00721BBC"/>
    <w:pPr>
      <w:ind w:left="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4A5"/>
    <w:pPr>
      <w:spacing w:after="160" w:line="259" w:lineRule="auto"/>
      <w:ind w:left="720"/>
      <w:contextualSpacing/>
    </w:pPr>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33">
      <w:bodyDiv w:val="1"/>
      <w:marLeft w:val="0"/>
      <w:marRight w:val="0"/>
      <w:marTop w:val="0"/>
      <w:marBottom w:val="0"/>
      <w:divBdr>
        <w:top w:val="none" w:sz="0" w:space="0" w:color="auto"/>
        <w:left w:val="none" w:sz="0" w:space="0" w:color="auto"/>
        <w:bottom w:val="none" w:sz="0" w:space="0" w:color="auto"/>
        <w:right w:val="none" w:sz="0" w:space="0" w:color="auto"/>
      </w:divBdr>
    </w:div>
    <w:div w:id="52194352">
      <w:bodyDiv w:val="1"/>
      <w:marLeft w:val="0"/>
      <w:marRight w:val="0"/>
      <w:marTop w:val="0"/>
      <w:marBottom w:val="0"/>
      <w:divBdr>
        <w:top w:val="none" w:sz="0" w:space="0" w:color="auto"/>
        <w:left w:val="none" w:sz="0" w:space="0" w:color="auto"/>
        <w:bottom w:val="none" w:sz="0" w:space="0" w:color="auto"/>
        <w:right w:val="none" w:sz="0" w:space="0" w:color="auto"/>
      </w:divBdr>
    </w:div>
    <w:div w:id="156195345">
      <w:bodyDiv w:val="1"/>
      <w:marLeft w:val="0"/>
      <w:marRight w:val="0"/>
      <w:marTop w:val="0"/>
      <w:marBottom w:val="0"/>
      <w:divBdr>
        <w:top w:val="none" w:sz="0" w:space="0" w:color="auto"/>
        <w:left w:val="none" w:sz="0" w:space="0" w:color="auto"/>
        <w:bottom w:val="none" w:sz="0" w:space="0" w:color="auto"/>
        <w:right w:val="none" w:sz="0" w:space="0" w:color="auto"/>
      </w:divBdr>
    </w:div>
    <w:div w:id="836311548">
      <w:bodyDiv w:val="1"/>
      <w:marLeft w:val="0"/>
      <w:marRight w:val="0"/>
      <w:marTop w:val="0"/>
      <w:marBottom w:val="0"/>
      <w:divBdr>
        <w:top w:val="none" w:sz="0" w:space="0" w:color="auto"/>
        <w:left w:val="none" w:sz="0" w:space="0" w:color="auto"/>
        <w:bottom w:val="none" w:sz="0" w:space="0" w:color="auto"/>
        <w:right w:val="none" w:sz="0" w:space="0" w:color="auto"/>
      </w:divBdr>
    </w:div>
    <w:div w:id="1010372306">
      <w:bodyDiv w:val="1"/>
      <w:marLeft w:val="0"/>
      <w:marRight w:val="0"/>
      <w:marTop w:val="0"/>
      <w:marBottom w:val="0"/>
      <w:divBdr>
        <w:top w:val="none" w:sz="0" w:space="0" w:color="auto"/>
        <w:left w:val="none" w:sz="0" w:space="0" w:color="auto"/>
        <w:bottom w:val="none" w:sz="0" w:space="0" w:color="auto"/>
        <w:right w:val="none" w:sz="0" w:space="0" w:color="auto"/>
      </w:divBdr>
    </w:div>
    <w:div w:id="1836530330">
      <w:bodyDiv w:val="1"/>
      <w:marLeft w:val="0"/>
      <w:marRight w:val="0"/>
      <w:marTop w:val="0"/>
      <w:marBottom w:val="0"/>
      <w:divBdr>
        <w:top w:val="none" w:sz="0" w:space="0" w:color="auto"/>
        <w:left w:val="none" w:sz="0" w:space="0" w:color="auto"/>
        <w:bottom w:val="none" w:sz="0" w:space="0" w:color="auto"/>
        <w:right w:val="none" w:sz="0" w:space="0" w:color="auto"/>
      </w:divBdr>
    </w:div>
    <w:div w:id="2011834923">
      <w:bodyDiv w:val="1"/>
      <w:marLeft w:val="0"/>
      <w:marRight w:val="0"/>
      <w:marTop w:val="0"/>
      <w:marBottom w:val="0"/>
      <w:divBdr>
        <w:top w:val="none" w:sz="0" w:space="0" w:color="auto"/>
        <w:left w:val="none" w:sz="0" w:space="0" w:color="auto"/>
        <w:bottom w:val="none" w:sz="0" w:space="0" w:color="auto"/>
        <w:right w:val="none" w:sz="0" w:space="0" w:color="auto"/>
      </w:divBdr>
    </w:div>
    <w:div w:id="2132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022E-CB8D-4B20-A28F-350A67C7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Jan Ross</cp:lastModifiedBy>
  <cp:revision>3</cp:revision>
  <dcterms:created xsi:type="dcterms:W3CDTF">2022-03-14T12:09:00Z</dcterms:created>
  <dcterms:modified xsi:type="dcterms:W3CDTF">2022-03-14T12:09:00Z</dcterms:modified>
</cp:coreProperties>
</file>